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6"/>
        </w:rPr>
        <w:t>Supporting Information Document</w:t>
      </w:r>
    </w:p>
    <w:p>
      <w:pPr>
        <w:jc w:val="center"/>
      </w:pPr>
      <w:r>
        <w:rPr>
          <w:b/>
          <w:sz w:val="28"/>
        </w:rPr>
        <w:t>Protocol 9: Automated Silver Nanoparticle-Protein Corona Study for Nano-Biointerface Research</w:t>
      </w:r>
    </w:p>
    <w:p>
      <w:pPr>
        <w:jc w:val="center"/>
      </w:pPr>
      <w:r>
        <w:rPr>
          <w:i/>
          <w:sz w:val="22"/>
        </w:rPr>
        <w:t>Deeper Context, Scientific Intent, Automation Logic, Interpretation Strategy, and Webinar Explanation</w:t>
      </w:r>
    </w:p>
    <w:p>
      <w:pPr>
        <w:pStyle w:val="Heading1"/>
      </w:pPr>
      <w:r>
        <w:t>1. Support Status on Protoly / NSL</w:t>
      </w:r>
    </w:p>
    <w:p>
      <w:r>
        <w:t>This protocol is partially NSL-supported. The NSL platform can support the controlled preparation and incubation workflow through physical modules such as Reservoir Dispense, Stirrer, Heater, Wait, Sterilization UV, LED Illumination, Camera, Exhaust, Environment Sensors, Sonicator, and Sonicator Bath Heater. These modules can help with reagent addition, mixing, mild temperature support, timed incubation, dispersion support, environmental record keeping, and visual documentation.</w:t>
      </w:r>
    </w:p>
    <w:p>
      <w:r>
        <w:t>Protein corona separation, centrifugation, washing, SDS-PAGE, UV-Vis absorbance, fluorescence measurement, DLS, zeta potential, protein quantification, mass spectrometry, and biological interpretation are offline or external activities. They should be documented separately and should not be described as NSL modules.</w:t>
      </w:r>
    </w:p>
    <w:tbl>
      <w:tblPr>
        <w:tblStyle w:val="TableGrid"/>
        <w:tblW w:type="auto" w:w="0"/>
        <w:jc w:val="center"/>
        <w:tblLook w:firstColumn="1" w:firstRow="1" w:lastColumn="0" w:lastRow="0" w:noHBand="0" w:noVBand="1" w:val="04A0"/>
      </w:tblPr>
      <w:tblGrid>
        <w:gridCol w:w="5112"/>
        <w:gridCol w:w="5112"/>
      </w:tblGrid>
      <w:tr>
        <w:tc>
          <w:tcPr>
            <w:tcW w:type="dxa" w:w="4608"/>
            <w:vAlign w:val="center"/>
            <w:shd w:fill="D9EAF7"/>
          </w:tcPr>
          <w:p>
            <w:r/>
            <w:r>
              <w:rPr>
                <w:b/>
                <w:sz w:val="18"/>
              </w:rPr>
              <w:t>NSL-supported part</w:t>
            </w:r>
          </w:p>
        </w:tc>
        <w:tc>
          <w:tcPr>
            <w:tcW w:type="dxa" w:w="4608"/>
            <w:vAlign w:val="center"/>
            <w:shd w:fill="D9EAF7"/>
          </w:tcPr>
          <w:p>
            <w:r/>
            <w:r>
              <w:rPr>
                <w:b/>
                <w:sz w:val="18"/>
              </w:rPr>
              <w:t>External / offline part</w:t>
            </w:r>
          </w:p>
        </w:tc>
      </w:tr>
      <w:tr>
        <w:tc>
          <w:tcPr>
            <w:tcW w:type="dxa" w:w="4608"/>
            <w:vAlign w:val="center"/>
          </w:tcPr>
          <w:p>
            <w:r/>
            <w:r>
              <w:rPr>
                <w:b w:val="0"/>
                <w:sz w:val="18"/>
              </w:rPr>
              <w:t>Dispensing AgNP dispersion, protein solution, buffer, and washing medium</w:t>
            </w:r>
          </w:p>
        </w:tc>
        <w:tc>
          <w:tcPr>
            <w:tcW w:type="dxa" w:w="4608"/>
            <w:vAlign w:val="center"/>
          </w:tcPr>
          <w:p>
            <w:r/>
            <w:r>
              <w:rPr>
                <w:b w:val="0"/>
                <w:sz w:val="18"/>
              </w:rPr>
              <w:t>Centrifugation, pellet washing, and supernatant removal</w:t>
            </w:r>
          </w:p>
        </w:tc>
      </w:tr>
      <w:tr>
        <w:tc>
          <w:tcPr>
            <w:tcW w:type="dxa" w:w="4608"/>
            <w:vAlign w:val="center"/>
          </w:tcPr>
          <w:p>
            <w:r/>
            <w:r>
              <w:rPr>
                <w:b w:val="0"/>
                <w:sz w:val="18"/>
              </w:rPr>
              <w:t>Controlled stirring and timed incubation</w:t>
            </w:r>
          </w:p>
        </w:tc>
        <w:tc>
          <w:tcPr>
            <w:tcW w:type="dxa" w:w="4608"/>
            <w:vAlign w:val="center"/>
          </w:tcPr>
          <w:p>
            <w:r/>
            <w:r>
              <w:rPr>
                <w:b w:val="0"/>
                <w:sz w:val="18"/>
              </w:rPr>
              <w:t>Protein quantification and corona composition analysis</w:t>
            </w:r>
          </w:p>
        </w:tc>
      </w:tr>
      <w:tr>
        <w:tc>
          <w:tcPr>
            <w:tcW w:type="dxa" w:w="4608"/>
            <w:vAlign w:val="center"/>
          </w:tcPr>
          <w:p>
            <w:r/>
            <w:r>
              <w:rPr>
                <w:b w:val="0"/>
                <w:sz w:val="18"/>
              </w:rPr>
              <w:t>Mild heating or controlled temperature support where suitable</w:t>
            </w:r>
          </w:p>
        </w:tc>
        <w:tc>
          <w:tcPr>
            <w:tcW w:type="dxa" w:w="4608"/>
            <w:vAlign w:val="center"/>
          </w:tcPr>
          <w:p>
            <w:r/>
            <w:r>
              <w:rPr>
                <w:b w:val="0"/>
                <w:sz w:val="18"/>
              </w:rPr>
              <w:t>DLS, zeta potential, UV-Vis, SDS-PAGE, fluorescence, microscopy</w:t>
            </w:r>
          </w:p>
        </w:tc>
      </w:tr>
      <w:tr>
        <w:tc>
          <w:tcPr>
            <w:tcW w:type="dxa" w:w="4608"/>
            <w:vAlign w:val="center"/>
          </w:tcPr>
          <w:p>
            <w:r/>
            <w:r>
              <w:rPr>
                <w:b w:val="0"/>
                <w:sz w:val="18"/>
              </w:rPr>
              <w:t>Camera-based appearance recording under chamber illumination</w:t>
            </w:r>
          </w:p>
        </w:tc>
        <w:tc>
          <w:tcPr>
            <w:tcW w:type="dxa" w:w="4608"/>
            <w:vAlign w:val="center"/>
          </w:tcPr>
          <w:p>
            <w:r/>
            <w:r>
              <w:rPr>
                <w:b w:val="0"/>
                <w:sz w:val="18"/>
              </w:rPr>
              <w:t>Cellular uptake, cytotoxicity, immune response, and biological validation</w:t>
            </w:r>
          </w:p>
        </w:tc>
      </w:tr>
      <w:tr>
        <w:tc>
          <w:tcPr>
            <w:tcW w:type="dxa" w:w="4608"/>
            <w:vAlign w:val="center"/>
          </w:tcPr>
          <w:p>
            <w:r/>
            <w:r>
              <w:rPr>
                <w:b w:val="0"/>
                <w:sz w:val="18"/>
              </w:rPr>
              <w:t>Sonication support for dispersion improvement if required</w:t>
            </w:r>
          </w:p>
        </w:tc>
        <w:tc>
          <w:tcPr>
            <w:tcW w:type="dxa" w:w="4608"/>
            <w:vAlign w:val="center"/>
          </w:tcPr>
          <w:p>
            <w:r/>
            <w:r>
              <w:rPr>
                <w:b w:val="0"/>
                <w:sz w:val="18"/>
              </w:rPr>
              <w:t>Long-term stability testing and advanced nano-biointerface studies</w:t>
            </w:r>
          </w:p>
        </w:tc>
      </w:tr>
    </w:tbl>
    <w:p>
      <w:pPr>
        <w:pStyle w:val="Heading1"/>
      </w:pPr>
      <w:r>
        <w:t>2. Purpose of This Supporting Information</w:t>
      </w:r>
    </w:p>
    <w:p>
      <w:r>
        <w:t>The main Protoly protocol contains the operational fields and fillable sections. This supporting information document explains the scientific purpose, nano-biointerface context, automation logic, interpretation approach, limitations, and future development possibilities of the protein corona workflow.</w:t>
      </w:r>
    </w:p>
    <w:p>
      <w:r>
        <w:t>The document is designed to help webinar participants and Protoly readers understand why a silver nanoparticle-protein corona protocol is useful, how automation-assisted execution can improve consistency, and how the resulting samples should be interpreted. It is not intended to replace detailed analytical characterization or biological validation.</w:t>
      </w:r>
    </w:p>
    <w:p>
      <w:pPr>
        <w:pStyle w:val="Heading1"/>
      </w:pPr>
      <w:r>
        <w:t>3. Overall Concept of the Protocol</w:t>
      </w:r>
    </w:p>
    <w:p>
      <w:r>
        <w:t>When nanoparticles enter a biological or protein-containing environment, proteins can adsorb onto their surfaces and form a protein corona. This corona can change how nanoparticles behave in biological systems. It can influence aggregation, cellular recognition, uptake, immune interaction, colloidal stability, and apparent biological identity.</w:t>
      </w:r>
    </w:p>
    <w:p>
      <w:r>
        <w:t>The protocol uses silver nanoparticles as a visible and scientifically relevant model nanomaterial. A selected protein source, such as bovine serum albumin, serum protein mixture, or another safe model protein solution, is incubated with the nanoparticle dispersion under controlled conditions. After incubation, the sample may be separated and analyzed externally to understand nanoparticle-protein interaction behavior.</w:t>
      </w:r>
    </w:p>
    <w:p>
      <w:r>
        <w:t>The Protoly-NSL workflow is useful because protein corona formation is sensitive to timing, mixing, temperature, nanoparticle concentration, protein concentration, and order of addition. By defining these variables in a structured workflow, the experimental comparison becomes more reliable.</w:t>
      </w:r>
    </w:p>
    <w:p>
      <w:pPr>
        <w:pStyle w:val="Heading1"/>
      </w:pPr>
      <w:r>
        <w:t>4. Why Protein Corona Study Was Selected</w:t>
      </w:r>
    </w:p>
    <w:tbl>
      <w:tblPr>
        <w:tblStyle w:val="TableGrid"/>
        <w:tblW w:type="auto" w:w="0"/>
        <w:jc w:val="center"/>
        <w:tblLook w:firstColumn="1" w:firstRow="1" w:lastColumn="0" w:lastRow="0" w:noHBand="0" w:noVBand="1" w:val="04A0"/>
      </w:tblPr>
      <w:tblGrid>
        <w:gridCol w:w="5112"/>
        <w:gridCol w:w="5112"/>
      </w:tblGrid>
      <w:tr>
        <w:tc>
          <w:tcPr>
            <w:tcW w:type="dxa" w:w="3600"/>
            <w:vAlign w:val="center"/>
            <w:shd w:fill="D9EAF7"/>
          </w:tcPr>
          <w:p>
            <w:r/>
            <w:r>
              <w:rPr>
                <w:b/>
                <w:sz w:val="18"/>
              </w:rPr>
              <w:t>Reason</w:t>
            </w:r>
          </w:p>
        </w:tc>
        <w:tc>
          <w:tcPr>
            <w:tcW w:type="dxa" w:w="6048"/>
            <w:vAlign w:val="center"/>
            <w:shd w:fill="D9EAF7"/>
          </w:tcPr>
          <w:p>
            <w:r/>
            <w:r>
              <w:rPr>
                <w:b/>
                <w:sz w:val="18"/>
              </w:rPr>
              <w:t>Project relevance</w:t>
            </w:r>
          </w:p>
        </w:tc>
      </w:tr>
      <w:tr>
        <w:tc>
          <w:tcPr>
            <w:tcW w:type="dxa" w:w="3600"/>
            <w:vAlign w:val="center"/>
          </w:tcPr>
          <w:p>
            <w:r/>
            <w:r>
              <w:rPr>
                <w:b w:val="0"/>
                <w:sz w:val="18"/>
              </w:rPr>
              <w:t>Important nano-biointerface concept</w:t>
            </w:r>
          </w:p>
        </w:tc>
        <w:tc>
          <w:tcPr>
            <w:tcW w:type="dxa" w:w="6048"/>
            <w:vAlign w:val="center"/>
          </w:tcPr>
          <w:p>
            <w:r/>
            <w:r>
              <w:rPr>
                <w:b w:val="0"/>
                <w:sz w:val="18"/>
              </w:rPr>
              <w:t>Shows how nanoparticles change identity in biological environments</w:t>
            </w:r>
          </w:p>
        </w:tc>
      </w:tr>
      <w:tr>
        <w:tc>
          <w:tcPr>
            <w:tcW w:type="dxa" w:w="3600"/>
            <w:vAlign w:val="center"/>
          </w:tcPr>
          <w:p>
            <w:r/>
            <w:r>
              <w:rPr>
                <w:b w:val="0"/>
                <w:sz w:val="18"/>
              </w:rPr>
              <w:t>Clear link with nanomedicine and biosafety</w:t>
            </w:r>
          </w:p>
        </w:tc>
        <w:tc>
          <w:tcPr>
            <w:tcW w:type="dxa" w:w="6048"/>
            <w:vAlign w:val="center"/>
          </w:tcPr>
          <w:p>
            <w:r/>
            <w:r>
              <w:rPr>
                <w:b w:val="0"/>
                <w:sz w:val="18"/>
              </w:rPr>
              <w:t>Useful for cancer nanotechnology, drug delivery, diagnostics, and toxicity studies</w:t>
            </w:r>
          </w:p>
        </w:tc>
      </w:tr>
      <w:tr>
        <w:tc>
          <w:tcPr>
            <w:tcW w:type="dxa" w:w="3600"/>
            <w:vAlign w:val="center"/>
          </w:tcPr>
          <w:p>
            <w:r/>
            <w:r>
              <w:rPr>
                <w:b w:val="0"/>
                <w:sz w:val="18"/>
              </w:rPr>
              <w:t>Suitable for automation-assisted incubation</w:t>
            </w:r>
          </w:p>
        </w:tc>
        <w:tc>
          <w:tcPr>
            <w:tcW w:type="dxa" w:w="6048"/>
            <w:vAlign w:val="center"/>
          </w:tcPr>
          <w:p>
            <w:r/>
            <w:r>
              <w:rPr>
                <w:b w:val="0"/>
                <w:sz w:val="18"/>
              </w:rPr>
              <w:t>Key steps include controlled dispensing, mixing, timed incubation, and documentation</w:t>
            </w:r>
          </w:p>
        </w:tc>
      </w:tr>
      <w:tr>
        <w:tc>
          <w:tcPr>
            <w:tcW w:type="dxa" w:w="3600"/>
            <w:vAlign w:val="center"/>
          </w:tcPr>
          <w:p>
            <w:r/>
            <w:r>
              <w:rPr>
                <w:b w:val="0"/>
                <w:sz w:val="18"/>
              </w:rPr>
              <w:t>Works as a bridge protocol</w:t>
            </w:r>
          </w:p>
        </w:tc>
        <w:tc>
          <w:tcPr>
            <w:tcW w:type="dxa" w:w="6048"/>
            <w:vAlign w:val="center"/>
          </w:tcPr>
          <w:p>
            <w:r/>
            <w:r>
              <w:rPr>
                <w:b w:val="0"/>
                <w:sz w:val="18"/>
              </w:rPr>
              <w:t>Connects nanoparticle synthesis protocols with biological evaluation protocols</w:t>
            </w:r>
          </w:p>
        </w:tc>
      </w:tr>
      <w:tr>
        <w:tc>
          <w:tcPr>
            <w:tcW w:type="dxa" w:w="3600"/>
            <w:vAlign w:val="center"/>
          </w:tcPr>
          <w:p>
            <w:r/>
            <w:r>
              <w:rPr>
                <w:b w:val="0"/>
                <w:sz w:val="18"/>
              </w:rPr>
              <w:t>Webinar-friendly scientific story</w:t>
            </w:r>
          </w:p>
        </w:tc>
        <w:tc>
          <w:tcPr>
            <w:tcW w:type="dxa" w:w="6048"/>
            <w:vAlign w:val="center"/>
          </w:tcPr>
          <w:p>
            <w:r/>
            <w:r>
              <w:rPr>
                <w:b w:val="0"/>
                <w:sz w:val="18"/>
              </w:rPr>
              <w:t>Easy to explain as “biological coating” or “protein layer” on nanoparticles</w:t>
            </w:r>
          </w:p>
        </w:tc>
      </w:tr>
    </w:tbl>
    <w:p>
      <w:pPr>
        <w:pStyle w:val="Heading1"/>
      </w:pPr>
      <w:r>
        <w:t>5. Scientific Background</w:t>
      </w:r>
    </w:p>
    <w:p>
      <w:r>
        <w:t>The protein corona concept is based on the adsorption of biomolecules onto nanoparticle surfaces. In a protein-rich medium, nanoparticles do not remain as bare particles for long. Proteins interact with the surface through electrostatic forces, hydrophobic interactions, van der Waals forces, hydrogen bonding, and affinity-driven interactions.</w:t>
      </w:r>
    </w:p>
    <w:tbl>
      <w:tblPr>
        <w:tblStyle w:val="TableGrid"/>
        <w:tblW w:type="auto" w:w="0"/>
        <w:jc w:val="center"/>
        <w:tblLook w:firstColumn="1" w:firstRow="1" w:lastColumn="0" w:lastRow="0" w:noHBand="0" w:noVBand="1" w:val="04A0"/>
      </w:tblPr>
      <w:tblGrid>
        <w:gridCol w:w="5112"/>
        <w:gridCol w:w="5112"/>
      </w:tblGrid>
      <w:tr>
        <w:tc>
          <w:tcPr>
            <w:tcW w:type="dxa" w:w="2880"/>
            <w:vAlign w:val="center"/>
            <w:shd w:fill="D9EAF7"/>
          </w:tcPr>
          <w:p>
            <w:r/>
            <w:r>
              <w:rPr>
                <w:b/>
                <w:sz w:val="18"/>
              </w:rPr>
              <w:t>Corona type</w:t>
            </w:r>
          </w:p>
        </w:tc>
        <w:tc>
          <w:tcPr>
            <w:tcW w:type="dxa" w:w="6768"/>
            <w:vAlign w:val="center"/>
            <w:shd w:fill="D9EAF7"/>
          </w:tcPr>
          <w:p>
            <w:r/>
            <w:r>
              <w:rPr>
                <w:b/>
                <w:sz w:val="18"/>
              </w:rPr>
              <w:t>Meaning</w:t>
            </w:r>
          </w:p>
        </w:tc>
      </w:tr>
      <w:tr>
        <w:tc>
          <w:tcPr>
            <w:tcW w:type="dxa" w:w="2880"/>
            <w:vAlign w:val="center"/>
          </w:tcPr>
          <w:p>
            <w:r/>
            <w:r>
              <w:rPr>
                <w:b w:val="0"/>
                <w:sz w:val="18"/>
              </w:rPr>
              <w:t>Soft corona</w:t>
            </w:r>
          </w:p>
        </w:tc>
        <w:tc>
          <w:tcPr>
            <w:tcW w:type="dxa" w:w="6768"/>
            <w:vAlign w:val="center"/>
          </w:tcPr>
          <w:p>
            <w:r/>
            <w:r>
              <w:rPr>
                <w:b w:val="0"/>
                <w:sz w:val="18"/>
              </w:rPr>
              <w:t>Loosely associated protein layer that may exchange rapidly with surrounding medium</w:t>
            </w:r>
          </w:p>
        </w:tc>
      </w:tr>
      <w:tr>
        <w:tc>
          <w:tcPr>
            <w:tcW w:type="dxa" w:w="2880"/>
            <w:vAlign w:val="center"/>
          </w:tcPr>
          <w:p>
            <w:r/>
            <w:r>
              <w:rPr>
                <w:b w:val="0"/>
                <w:sz w:val="18"/>
              </w:rPr>
              <w:t>Hard corona</w:t>
            </w:r>
          </w:p>
        </w:tc>
        <w:tc>
          <w:tcPr>
            <w:tcW w:type="dxa" w:w="6768"/>
            <w:vAlign w:val="center"/>
          </w:tcPr>
          <w:p>
            <w:r/>
            <w:r>
              <w:rPr>
                <w:b w:val="0"/>
                <w:sz w:val="18"/>
              </w:rPr>
              <w:t>More strongly bound protein layer that remains attached after washing or separation</w:t>
            </w:r>
          </w:p>
        </w:tc>
      </w:tr>
      <w:tr>
        <w:tc>
          <w:tcPr>
            <w:tcW w:type="dxa" w:w="2880"/>
            <w:vAlign w:val="center"/>
          </w:tcPr>
          <w:p>
            <w:r/>
            <w:r>
              <w:rPr>
                <w:b w:val="0"/>
                <w:sz w:val="18"/>
              </w:rPr>
              <w:t>Dynamic corona</w:t>
            </w:r>
          </w:p>
        </w:tc>
        <w:tc>
          <w:tcPr>
            <w:tcW w:type="dxa" w:w="6768"/>
            <w:vAlign w:val="center"/>
          </w:tcPr>
          <w:p>
            <w:r/>
            <w:r>
              <w:rPr>
                <w:b w:val="0"/>
                <w:sz w:val="18"/>
              </w:rPr>
              <w:t>Time-dependent corona that changes with incubation time and environment</w:t>
            </w:r>
          </w:p>
        </w:tc>
      </w:tr>
    </w:tbl>
    <w:p>
      <w:r>
        <w:t>For a simplified research model, this protocol focuses on controlled incubation and preliminary recovery of nanoparticle-protein complexes. Deeper analysis of the corona composition requires external analytical tools and should be presented as downstream characterization.</w:t>
      </w:r>
    </w:p>
    <w:p>
      <w:pPr>
        <w:pStyle w:val="Heading1"/>
      </w:pPr>
      <w:r>
        <w:t>6. Why Silver Nanoparticles Are Useful for This Model</w:t>
      </w:r>
    </w:p>
    <w:p>
      <w:r>
        <w:t>Silver nanoparticles are useful for a protein corona demonstration because their dispersions often show visible color and surface plasmon-related optical behavior. Changes in aggregation, surface environment, or corona formation may cause visible or measurable changes in dispersion appearance. However, visual change alone is not proof of corona formation; it is only a preliminary indicator that must be confirmed with external analysis.</w:t>
      </w:r>
    </w:p>
    <w:tbl>
      <w:tblPr>
        <w:tblStyle w:val="TableGrid"/>
        <w:tblW w:type="auto" w:w="0"/>
        <w:jc w:val="center"/>
        <w:tblLook w:firstColumn="1" w:firstRow="1" w:lastColumn="0" w:lastRow="0" w:noHBand="0" w:noVBand="1" w:val="04A0"/>
      </w:tblPr>
      <w:tblGrid>
        <w:gridCol w:w="5112"/>
        <w:gridCol w:w="5112"/>
      </w:tblGrid>
      <w:tr>
        <w:tc>
          <w:tcPr>
            <w:tcW w:type="dxa" w:w="3744"/>
            <w:vAlign w:val="center"/>
            <w:shd w:fill="D9EAF7"/>
          </w:tcPr>
          <w:p>
            <w:r/>
            <w:r>
              <w:rPr>
                <w:b/>
                <w:sz w:val="18"/>
              </w:rPr>
              <w:t>Feature of AgNPs</w:t>
            </w:r>
          </w:p>
        </w:tc>
        <w:tc>
          <w:tcPr>
            <w:tcW w:type="dxa" w:w="5904"/>
            <w:vAlign w:val="center"/>
            <w:shd w:fill="D9EAF7"/>
          </w:tcPr>
          <w:p>
            <w:r/>
            <w:r>
              <w:rPr>
                <w:b/>
                <w:sz w:val="18"/>
              </w:rPr>
              <w:t>Why it helps</w:t>
            </w:r>
          </w:p>
        </w:tc>
      </w:tr>
      <w:tr>
        <w:tc>
          <w:tcPr>
            <w:tcW w:type="dxa" w:w="3744"/>
            <w:vAlign w:val="center"/>
          </w:tcPr>
          <w:p>
            <w:r/>
            <w:r>
              <w:rPr>
                <w:b w:val="0"/>
                <w:sz w:val="18"/>
              </w:rPr>
              <w:t>Visible colloidal appearance</w:t>
            </w:r>
          </w:p>
        </w:tc>
        <w:tc>
          <w:tcPr>
            <w:tcW w:type="dxa" w:w="5904"/>
            <w:vAlign w:val="center"/>
          </w:tcPr>
          <w:p>
            <w:r/>
            <w:r>
              <w:rPr>
                <w:b w:val="0"/>
                <w:sz w:val="18"/>
              </w:rPr>
              <w:t>Useful for webinar and camera-based documentation</w:t>
            </w:r>
          </w:p>
        </w:tc>
      </w:tr>
      <w:tr>
        <w:tc>
          <w:tcPr>
            <w:tcW w:type="dxa" w:w="3744"/>
            <w:vAlign w:val="center"/>
          </w:tcPr>
          <w:p>
            <w:r/>
            <w:r>
              <w:rPr>
                <w:b w:val="0"/>
                <w:sz w:val="18"/>
              </w:rPr>
              <w:t>Surface interaction capacity</w:t>
            </w:r>
          </w:p>
        </w:tc>
        <w:tc>
          <w:tcPr>
            <w:tcW w:type="dxa" w:w="5904"/>
            <w:vAlign w:val="center"/>
          </w:tcPr>
          <w:p>
            <w:r/>
            <w:r>
              <w:rPr>
                <w:b w:val="0"/>
                <w:sz w:val="18"/>
              </w:rPr>
              <w:t>Supports protein adsorption studies</w:t>
            </w:r>
          </w:p>
        </w:tc>
      </w:tr>
      <w:tr>
        <w:tc>
          <w:tcPr>
            <w:tcW w:type="dxa" w:w="3744"/>
            <w:vAlign w:val="center"/>
          </w:tcPr>
          <w:p>
            <w:r/>
            <w:r>
              <w:rPr>
                <w:b w:val="0"/>
                <w:sz w:val="18"/>
              </w:rPr>
              <w:t>Relevance to antimicrobial and biomedical research</w:t>
            </w:r>
          </w:p>
        </w:tc>
        <w:tc>
          <w:tcPr>
            <w:tcW w:type="dxa" w:w="5904"/>
            <w:vAlign w:val="center"/>
          </w:tcPr>
          <w:p>
            <w:r/>
            <w:r>
              <w:rPr>
                <w:b w:val="0"/>
                <w:sz w:val="18"/>
              </w:rPr>
              <w:t>Links with previous Protoly AgNP protocols</w:t>
            </w:r>
          </w:p>
        </w:tc>
      </w:tr>
      <w:tr>
        <w:tc>
          <w:tcPr>
            <w:tcW w:type="dxa" w:w="3744"/>
            <w:vAlign w:val="center"/>
          </w:tcPr>
          <w:p>
            <w:r/>
            <w:r>
              <w:rPr>
                <w:b w:val="0"/>
                <w:sz w:val="18"/>
              </w:rPr>
              <w:t>Sensitivity to salt and protein environment</w:t>
            </w:r>
          </w:p>
        </w:tc>
        <w:tc>
          <w:tcPr>
            <w:tcW w:type="dxa" w:w="5904"/>
            <w:vAlign w:val="center"/>
          </w:tcPr>
          <w:p>
            <w:r/>
            <w:r>
              <w:rPr>
                <w:b w:val="0"/>
                <w:sz w:val="18"/>
              </w:rPr>
              <w:t>Useful for showing stability and aggregation changes</w:t>
            </w:r>
          </w:p>
        </w:tc>
      </w:tr>
    </w:tbl>
    <w:p>
      <w:pPr>
        <w:pStyle w:val="Heading1"/>
      </w:pPr>
      <w:r>
        <w:t>7. Key Experimental Variables</w:t>
      </w:r>
    </w:p>
    <w:tbl>
      <w:tblPr>
        <w:tblStyle w:val="TableGrid"/>
        <w:tblW w:type="auto" w:w="0"/>
        <w:jc w:val="center"/>
        <w:tblLook w:firstColumn="1" w:firstRow="1" w:lastColumn="0" w:lastRow="0" w:noHBand="0" w:noVBand="1" w:val="04A0"/>
      </w:tblPr>
      <w:tblGrid>
        <w:gridCol w:w="5112"/>
        <w:gridCol w:w="5112"/>
      </w:tblGrid>
      <w:tr>
        <w:tc>
          <w:tcPr>
            <w:tcW w:type="dxa" w:w="3456"/>
            <w:vAlign w:val="center"/>
            <w:shd w:fill="D9EAF7"/>
          </w:tcPr>
          <w:p>
            <w:r/>
            <w:r>
              <w:rPr>
                <w:b/>
                <w:sz w:val="18"/>
              </w:rPr>
              <w:t>Variable</w:t>
            </w:r>
          </w:p>
        </w:tc>
        <w:tc>
          <w:tcPr>
            <w:tcW w:type="dxa" w:w="6336"/>
            <w:vAlign w:val="center"/>
            <w:shd w:fill="D9EAF7"/>
          </w:tcPr>
          <w:p>
            <w:r/>
            <w:r>
              <w:rPr>
                <w:b/>
                <w:sz w:val="18"/>
              </w:rPr>
              <w:t>Scientific importance</w:t>
            </w:r>
          </w:p>
        </w:tc>
      </w:tr>
      <w:tr>
        <w:tc>
          <w:tcPr>
            <w:tcW w:type="dxa" w:w="3456"/>
            <w:vAlign w:val="center"/>
          </w:tcPr>
          <w:p>
            <w:r/>
            <w:r>
              <w:rPr>
                <w:b w:val="0"/>
                <w:sz w:val="18"/>
              </w:rPr>
              <w:t>AgNP concentration</w:t>
            </w:r>
          </w:p>
        </w:tc>
        <w:tc>
          <w:tcPr>
            <w:tcW w:type="dxa" w:w="6336"/>
            <w:vAlign w:val="center"/>
          </w:tcPr>
          <w:p>
            <w:r/>
            <w:r>
              <w:rPr>
                <w:b w:val="0"/>
                <w:sz w:val="18"/>
              </w:rPr>
              <w:t>Influences available surface area and protein binding capacity</w:t>
            </w:r>
          </w:p>
        </w:tc>
      </w:tr>
      <w:tr>
        <w:tc>
          <w:tcPr>
            <w:tcW w:type="dxa" w:w="3456"/>
            <w:vAlign w:val="center"/>
          </w:tcPr>
          <w:p>
            <w:r/>
            <w:r>
              <w:rPr>
                <w:b w:val="0"/>
                <w:sz w:val="18"/>
              </w:rPr>
              <w:t>Protein concentration</w:t>
            </w:r>
          </w:p>
        </w:tc>
        <w:tc>
          <w:tcPr>
            <w:tcW w:type="dxa" w:w="6336"/>
            <w:vAlign w:val="center"/>
          </w:tcPr>
          <w:p>
            <w:r/>
            <w:r>
              <w:rPr>
                <w:b w:val="0"/>
                <w:sz w:val="18"/>
              </w:rPr>
              <w:t>Controls corona coverage and competition between proteins</w:t>
            </w:r>
          </w:p>
        </w:tc>
      </w:tr>
      <w:tr>
        <w:tc>
          <w:tcPr>
            <w:tcW w:type="dxa" w:w="3456"/>
            <w:vAlign w:val="center"/>
          </w:tcPr>
          <w:p>
            <w:r/>
            <w:r>
              <w:rPr>
                <w:b w:val="0"/>
                <w:sz w:val="18"/>
              </w:rPr>
              <w:t>AgNP:protein ratio</w:t>
            </w:r>
          </w:p>
        </w:tc>
        <w:tc>
          <w:tcPr>
            <w:tcW w:type="dxa" w:w="6336"/>
            <w:vAlign w:val="center"/>
          </w:tcPr>
          <w:p>
            <w:r/>
            <w:r>
              <w:rPr>
                <w:b w:val="0"/>
                <w:sz w:val="18"/>
              </w:rPr>
              <w:t>Central variable for corona formation and saturation behavior</w:t>
            </w:r>
          </w:p>
        </w:tc>
      </w:tr>
      <w:tr>
        <w:tc>
          <w:tcPr>
            <w:tcW w:type="dxa" w:w="3456"/>
            <w:vAlign w:val="center"/>
          </w:tcPr>
          <w:p>
            <w:r/>
            <w:r>
              <w:rPr>
                <w:b w:val="0"/>
                <w:sz w:val="18"/>
              </w:rPr>
              <w:t>Incubation time</w:t>
            </w:r>
          </w:p>
        </w:tc>
        <w:tc>
          <w:tcPr>
            <w:tcW w:type="dxa" w:w="6336"/>
            <w:vAlign w:val="center"/>
          </w:tcPr>
          <w:p>
            <w:r/>
            <w:r>
              <w:rPr>
                <w:b w:val="0"/>
                <w:sz w:val="18"/>
              </w:rPr>
              <w:t>Controls corona development and exchange dynamics</w:t>
            </w:r>
          </w:p>
        </w:tc>
      </w:tr>
      <w:tr>
        <w:tc>
          <w:tcPr>
            <w:tcW w:type="dxa" w:w="3456"/>
            <w:vAlign w:val="center"/>
          </w:tcPr>
          <w:p>
            <w:r/>
            <w:r>
              <w:rPr>
                <w:b w:val="0"/>
                <w:sz w:val="18"/>
              </w:rPr>
              <w:t>Temperature</w:t>
            </w:r>
          </w:p>
        </w:tc>
        <w:tc>
          <w:tcPr>
            <w:tcW w:type="dxa" w:w="6336"/>
            <w:vAlign w:val="center"/>
          </w:tcPr>
          <w:p>
            <w:r/>
            <w:r>
              <w:rPr>
                <w:b w:val="0"/>
                <w:sz w:val="18"/>
              </w:rPr>
              <w:t>Influences protein adsorption, stability, and aggregation risk</w:t>
            </w:r>
          </w:p>
        </w:tc>
      </w:tr>
      <w:tr>
        <w:tc>
          <w:tcPr>
            <w:tcW w:type="dxa" w:w="3456"/>
            <w:vAlign w:val="center"/>
          </w:tcPr>
          <w:p>
            <w:r/>
            <w:r>
              <w:rPr>
                <w:b w:val="0"/>
                <w:sz w:val="18"/>
              </w:rPr>
              <w:t>Mixing speed</w:t>
            </w:r>
          </w:p>
        </w:tc>
        <w:tc>
          <w:tcPr>
            <w:tcW w:type="dxa" w:w="6336"/>
            <w:vAlign w:val="center"/>
          </w:tcPr>
          <w:p>
            <w:r/>
            <w:r>
              <w:rPr>
                <w:b w:val="0"/>
                <w:sz w:val="18"/>
              </w:rPr>
              <w:t>Affects contact between nanoparticles and proteins</w:t>
            </w:r>
          </w:p>
        </w:tc>
      </w:tr>
      <w:tr>
        <w:tc>
          <w:tcPr>
            <w:tcW w:type="dxa" w:w="3456"/>
            <w:vAlign w:val="center"/>
          </w:tcPr>
          <w:p>
            <w:r/>
            <w:r>
              <w:rPr>
                <w:b w:val="0"/>
                <w:sz w:val="18"/>
              </w:rPr>
              <w:t>Buffer composition</w:t>
            </w:r>
          </w:p>
        </w:tc>
        <w:tc>
          <w:tcPr>
            <w:tcW w:type="dxa" w:w="6336"/>
            <w:vAlign w:val="center"/>
          </w:tcPr>
          <w:p>
            <w:r/>
            <w:r>
              <w:rPr>
                <w:b w:val="0"/>
                <w:sz w:val="18"/>
              </w:rPr>
              <w:t>Can influence charge, aggregation, and adsorption behavior</w:t>
            </w:r>
          </w:p>
        </w:tc>
      </w:tr>
      <w:tr>
        <w:tc>
          <w:tcPr>
            <w:tcW w:type="dxa" w:w="3456"/>
            <w:vAlign w:val="center"/>
          </w:tcPr>
          <w:p>
            <w:r/>
            <w:r>
              <w:rPr>
                <w:b w:val="0"/>
                <w:sz w:val="18"/>
              </w:rPr>
              <w:t>Order of addition</w:t>
            </w:r>
          </w:p>
        </w:tc>
        <w:tc>
          <w:tcPr>
            <w:tcW w:type="dxa" w:w="6336"/>
            <w:vAlign w:val="center"/>
          </w:tcPr>
          <w:p>
            <w:r/>
            <w:r>
              <w:rPr>
                <w:b w:val="0"/>
                <w:sz w:val="18"/>
              </w:rPr>
              <w:t>May affect the initial interaction pathway</w:t>
            </w:r>
          </w:p>
        </w:tc>
      </w:tr>
      <w:tr>
        <w:tc>
          <w:tcPr>
            <w:tcW w:type="dxa" w:w="3456"/>
            <w:vAlign w:val="center"/>
          </w:tcPr>
          <w:p>
            <w:r/>
            <w:r>
              <w:rPr>
                <w:b w:val="0"/>
                <w:sz w:val="18"/>
              </w:rPr>
              <w:t>Washing conditions</w:t>
            </w:r>
          </w:p>
        </w:tc>
        <w:tc>
          <w:tcPr>
            <w:tcW w:type="dxa" w:w="6336"/>
            <w:vAlign w:val="center"/>
          </w:tcPr>
          <w:p>
            <w:r/>
            <w:r>
              <w:rPr>
                <w:b w:val="0"/>
                <w:sz w:val="18"/>
              </w:rPr>
              <w:t>Determine whether loosely bound proteins remain or are removed</w:t>
            </w:r>
          </w:p>
        </w:tc>
      </w:tr>
    </w:tbl>
    <w:p>
      <w:pPr>
        <w:pStyle w:val="Heading1"/>
      </w:pPr>
      <w:r>
        <w:t>8. Automation Logic Behind the Workflow</w:t>
      </w:r>
    </w:p>
    <w:p>
      <w:r>
        <w:t>The value of automation in this protocol is not that it performs complete corona characterization. Its value is that it standardizes the preparation of corona samples before offline testing. Protein corona experiments are highly sensitive to small procedural variations. A few seconds difference in addition sequence, a difference in mixing speed, or a longer incubation period can change the resulting protein-nanoparticle interaction.</w:t>
      </w:r>
    </w:p>
    <w:tbl>
      <w:tblPr>
        <w:tblStyle w:val="TableGrid"/>
        <w:tblW w:type="auto" w:w="0"/>
        <w:jc w:val="center"/>
        <w:tblLook w:firstColumn="1" w:firstRow="1" w:lastColumn="0" w:lastRow="0" w:noHBand="0" w:noVBand="1" w:val="04A0"/>
      </w:tblPr>
      <w:tblGrid>
        <w:gridCol w:w="5112"/>
        <w:gridCol w:w="5112"/>
      </w:tblGrid>
      <w:tr>
        <w:tc>
          <w:tcPr>
            <w:tcW w:type="dxa" w:w="4032"/>
            <w:vAlign w:val="center"/>
            <w:shd w:fill="D9EAF7"/>
          </w:tcPr>
          <w:p>
            <w:r/>
            <w:r>
              <w:rPr>
                <w:b/>
                <w:sz w:val="18"/>
              </w:rPr>
              <w:t>Manual difficulty</w:t>
            </w:r>
          </w:p>
        </w:tc>
        <w:tc>
          <w:tcPr>
            <w:tcW w:type="dxa" w:w="5616"/>
            <w:vAlign w:val="center"/>
            <w:shd w:fill="D9EAF7"/>
          </w:tcPr>
          <w:p>
            <w:r/>
            <w:r>
              <w:rPr>
                <w:b/>
                <w:sz w:val="18"/>
              </w:rPr>
              <w:t>Automation-assisted improvement</w:t>
            </w:r>
          </w:p>
        </w:tc>
      </w:tr>
      <w:tr>
        <w:tc>
          <w:tcPr>
            <w:tcW w:type="dxa" w:w="4032"/>
            <w:vAlign w:val="center"/>
          </w:tcPr>
          <w:p>
            <w:r/>
            <w:r>
              <w:rPr>
                <w:b w:val="0"/>
                <w:sz w:val="18"/>
              </w:rPr>
              <w:t>Variable addition timing</w:t>
            </w:r>
          </w:p>
        </w:tc>
        <w:tc>
          <w:tcPr>
            <w:tcW w:type="dxa" w:w="5616"/>
            <w:vAlign w:val="center"/>
          </w:tcPr>
          <w:p>
            <w:r/>
            <w:r>
              <w:rPr>
                <w:b w:val="0"/>
                <w:sz w:val="18"/>
              </w:rPr>
              <w:t>Reservoir Dispense can follow a defined sequence</w:t>
            </w:r>
          </w:p>
        </w:tc>
      </w:tr>
      <w:tr>
        <w:tc>
          <w:tcPr>
            <w:tcW w:type="dxa" w:w="4032"/>
            <w:vAlign w:val="center"/>
          </w:tcPr>
          <w:p>
            <w:r/>
            <w:r>
              <w:rPr>
                <w:b w:val="0"/>
                <w:sz w:val="18"/>
              </w:rPr>
              <w:t>Inconsistent mixing</w:t>
            </w:r>
          </w:p>
        </w:tc>
        <w:tc>
          <w:tcPr>
            <w:tcW w:type="dxa" w:w="5616"/>
            <w:vAlign w:val="center"/>
          </w:tcPr>
          <w:p>
            <w:r/>
            <w:r>
              <w:rPr>
                <w:b w:val="0"/>
                <w:sz w:val="18"/>
              </w:rPr>
              <w:t>Stirrer can run at a selected RPM and time</w:t>
            </w:r>
          </w:p>
        </w:tc>
      </w:tr>
      <w:tr>
        <w:tc>
          <w:tcPr>
            <w:tcW w:type="dxa" w:w="4032"/>
            <w:vAlign w:val="center"/>
          </w:tcPr>
          <w:p>
            <w:r/>
            <w:r>
              <w:rPr>
                <w:b w:val="0"/>
                <w:sz w:val="18"/>
              </w:rPr>
              <w:t>Uncontrolled incubation time</w:t>
            </w:r>
          </w:p>
        </w:tc>
        <w:tc>
          <w:tcPr>
            <w:tcW w:type="dxa" w:w="5616"/>
            <w:vAlign w:val="center"/>
          </w:tcPr>
          <w:p>
            <w:r/>
            <w:r>
              <w:rPr>
                <w:b w:val="0"/>
                <w:sz w:val="18"/>
              </w:rPr>
              <w:t>Wait module standardizes exposure period</w:t>
            </w:r>
          </w:p>
        </w:tc>
      </w:tr>
      <w:tr>
        <w:tc>
          <w:tcPr>
            <w:tcW w:type="dxa" w:w="4032"/>
            <w:vAlign w:val="center"/>
          </w:tcPr>
          <w:p>
            <w:r/>
            <w:r>
              <w:rPr>
                <w:b w:val="0"/>
                <w:sz w:val="18"/>
              </w:rPr>
              <w:t>Variable temperature exposure</w:t>
            </w:r>
          </w:p>
        </w:tc>
        <w:tc>
          <w:tcPr>
            <w:tcW w:type="dxa" w:w="5616"/>
            <w:vAlign w:val="center"/>
          </w:tcPr>
          <w:p>
            <w:r/>
            <w:r>
              <w:rPr>
                <w:b w:val="0"/>
                <w:sz w:val="18"/>
              </w:rPr>
              <w:t>Heater or Sonicator Bath Heater can support mild controlled conditions where suitable</w:t>
            </w:r>
          </w:p>
        </w:tc>
      </w:tr>
      <w:tr>
        <w:tc>
          <w:tcPr>
            <w:tcW w:type="dxa" w:w="4032"/>
            <w:vAlign w:val="center"/>
          </w:tcPr>
          <w:p>
            <w:r/>
            <w:r>
              <w:rPr>
                <w:b w:val="0"/>
                <w:sz w:val="18"/>
              </w:rPr>
              <w:t>Poor visual record</w:t>
            </w:r>
          </w:p>
        </w:tc>
        <w:tc>
          <w:tcPr>
            <w:tcW w:type="dxa" w:w="5616"/>
            <w:vAlign w:val="center"/>
          </w:tcPr>
          <w:p>
            <w:r/>
            <w:r>
              <w:rPr>
                <w:b w:val="0"/>
                <w:sz w:val="18"/>
              </w:rPr>
              <w:t>LED Illumination and Camera can document sample appearance</w:t>
            </w:r>
          </w:p>
        </w:tc>
      </w:tr>
      <w:tr>
        <w:tc>
          <w:tcPr>
            <w:tcW w:type="dxa" w:w="4032"/>
            <w:vAlign w:val="center"/>
          </w:tcPr>
          <w:p>
            <w:r/>
            <w:r>
              <w:rPr>
                <w:b w:val="0"/>
                <w:sz w:val="18"/>
              </w:rPr>
              <w:t>Batch comparison gaps</w:t>
            </w:r>
          </w:p>
        </w:tc>
        <w:tc>
          <w:tcPr>
            <w:tcW w:type="dxa" w:w="5616"/>
            <w:vAlign w:val="center"/>
          </w:tcPr>
          <w:p>
            <w:r/>
            <w:r>
              <w:rPr>
                <w:b w:val="0"/>
                <w:sz w:val="18"/>
              </w:rPr>
              <w:t>Protoly records the defined conditions for each run</w:t>
            </w:r>
          </w:p>
        </w:tc>
      </w:tr>
    </w:tbl>
    <w:p>
      <w:pPr>
        <w:pStyle w:val="Heading1"/>
      </w:pPr>
      <w:r>
        <w:t>9. Role of NSL Modules in This Protocol</w:t>
      </w:r>
    </w:p>
    <w:tbl>
      <w:tblPr>
        <w:tblStyle w:val="TableGrid"/>
        <w:tblW w:type="auto" w:w="0"/>
        <w:jc w:val="center"/>
        <w:tblLook w:firstColumn="1" w:firstRow="1" w:lastColumn="0" w:lastRow="0" w:noHBand="0" w:noVBand="1" w:val="04A0"/>
      </w:tblPr>
      <w:tblGrid>
        <w:gridCol w:w="5112"/>
        <w:gridCol w:w="5112"/>
      </w:tblGrid>
      <w:tr>
        <w:tc>
          <w:tcPr>
            <w:tcW w:type="dxa" w:w="3168"/>
            <w:vAlign w:val="center"/>
            <w:shd w:fill="D9EAF7"/>
          </w:tcPr>
          <w:p>
            <w:r/>
            <w:r>
              <w:rPr>
                <w:b/>
                <w:sz w:val="18"/>
              </w:rPr>
              <w:t>NSL module</w:t>
            </w:r>
          </w:p>
        </w:tc>
        <w:tc>
          <w:tcPr>
            <w:tcW w:type="dxa" w:w="6480"/>
            <w:vAlign w:val="center"/>
            <w:shd w:fill="D9EAF7"/>
          </w:tcPr>
          <w:p>
            <w:r/>
            <w:r>
              <w:rPr>
                <w:b/>
                <w:sz w:val="18"/>
              </w:rPr>
              <w:t>Role in protein corona workflow</w:t>
            </w:r>
          </w:p>
        </w:tc>
      </w:tr>
      <w:tr>
        <w:tc>
          <w:tcPr>
            <w:tcW w:type="dxa" w:w="3168"/>
            <w:vAlign w:val="center"/>
          </w:tcPr>
          <w:p>
            <w:r/>
            <w:r>
              <w:rPr>
                <w:b w:val="0"/>
                <w:sz w:val="18"/>
              </w:rPr>
              <w:t>Sterilization UV</w:t>
            </w:r>
          </w:p>
        </w:tc>
        <w:tc>
          <w:tcPr>
            <w:tcW w:type="dxa" w:w="6480"/>
            <w:vAlign w:val="center"/>
          </w:tcPr>
          <w:p>
            <w:r/>
            <w:r>
              <w:rPr>
                <w:b w:val="0"/>
                <w:sz w:val="18"/>
              </w:rPr>
              <w:t>Pre-run chamber preparation for cleaner handling conditions</w:t>
            </w:r>
          </w:p>
        </w:tc>
      </w:tr>
      <w:tr>
        <w:tc>
          <w:tcPr>
            <w:tcW w:type="dxa" w:w="3168"/>
            <w:vAlign w:val="center"/>
          </w:tcPr>
          <w:p>
            <w:r/>
            <w:r>
              <w:rPr>
                <w:b w:val="0"/>
                <w:sz w:val="18"/>
              </w:rPr>
              <w:t>Reservoir Dispense</w:t>
            </w:r>
          </w:p>
        </w:tc>
        <w:tc>
          <w:tcPr>
            <w:tcW w:type="dxa" w:w="6480"/>
            <w:vAlign w:val="center"/>
          </w:tcPr>
          <w:p>
            <w:r/>
            <w:r>
              <w:rPr>
                <w:b w:val="0"/>
                <w:sz w:val="18"/>
              </w:rPr>
              <w:t>Dispensing AgNP dispersion, protein solution, buffer, or washing medium</w:t>
            </w:r>
          </w:p>
        </w:tc>
      </w:tr>
      <w:tr>
        <w:tc>
          <w:tcPr>
            <w:tcW w:type="dxa" w:w="3168"/>
            <w:vAlign w:val="center"/>
          </w:tcPr>
          <w:p>
            <w:r/>
            <w:r>
              <w:rPr>
                <w:b w:val="0"/>
                <w:sz w:val="18"/>
              </w:rPr>
              <w:t>Stirrer</w:t>
            </w:r>
          </w:p>
        </w:tc>
        <w:tc>
          <w:tcPr>
            <w:tcW w:type="dxa" w:w="6480"/>
            <w:vAlign w:val="center"/>
          </w:tcPr>
          <w:p>
            <w:r/>
            <w:r>
              <w:rPr>
                <w:b w:val="0"/>
                <w:sz w:val="18"/>
              </w:rPr>
              <w:t>Controlled mixing during nanoparticle-protein incubation</w:t>
            </w:r>
          </w:p>
        </w:tc>
      </w:tr>
      <w:tr>
        <w:tc>
          <w:tcPr>
            <w:tcW w:type="dxa" w:w="3168"/>
            <w:vAlign w:val="center"/>
          </w:tcPr>
          <w:p>
            <w:r/>
            <w:r>
              <w:rPr>
                <w:b w:val="0"/>
                <w:sz w:val="18"/>
              </w:rPr>
              <w:t>Wait</w:t>
            </w:r>
          </w:p>
        </w:tc>
        <w:tc>
          <w:tcPr>
            <w:tcW w:type="dxa" w:w="6480"/>
            <w:vAlign w:val="center"/>
          </w:tcPr>
          <w:p>
            <w:r/>
            <w:r>
              <w:rPr>
                <w:b w:val="0"/>
                <w:sz w:val="18"/>
              </w:rPr>
              <w:t>Defined corona formation and stabilization period</w:t>
            </w:r>
          </w:p>
        </w:tc>
      </w:tr>
      <w:tr>
        <w:tc>
          <w:tcPr>
            <w:tcW w:type="dxa" w:w="3168"/>
            <w:vAlign w:val="center"/>
          </w:tcPr>
          <w:p>
            <w:r/>
            <w:r>
              <w:rPr>
                <w:b w:val="0"/>
                <w:sz w:val="18"/>
              </w:rPr>
              <w:t>Heater</w:t>
            </w:r>
          </w:p>
        </w:tc>
        <w:tc>
          <w:tcPr>
            <w:tcW w:type="dxa" w:w="6480"/>
            <w:vAlign w:val="center"/>
          </w:tcPr>
          <w:p>
            <w:r/>
            <w:r>
              <w:rPr>
                <w:b w:val="0"/>
                <w:sz w:val="18"/>
              </w:rPr>
              <w:t>Mild temperature support when the study design requires it</w:t>
            </w:r>
          </w:p>
        </w:tc>
      </w:tr>
      <w:tr>
        <w:tc>
          <w:tcPr>
            <w:tcW w:type="dxa" w:w="3168"/>
            <w:vAlign w:val="center"/>
          </w:tcPr>
          <w:p>
            <w:r/>
            <w:r>
              <w:rPr>
                <w:b w:val="0"/>
                <w:sz w:val="18"/>
              </w:rPr>
              <w:t>LED Illumination</w:t>
            </w:r>
          </w:p>
        </w:tc>
        <w:tc>
          <w:tcPr>
            <w:tcW w:type="dxa" w:w="6480"/>
            <w:vAlign w:val="center"/>
          </w:tcPr>
          <w:p>
            <w:r/>
            <w:r>
              <w:rPr>
                <w:b w:val="0"/>
                <w:sz w:val="18"/>
              </w:rPr>
              <w:t>White light support for camera documentation</w:t>
            </w:r>
          </w:p>
        </w:tc>
      </w:tr>
      <w:tr>
        <w:tc>
          <w:tcPr>
            <w:tcW w:type="dxa" w:w="3168"/>
            <w:vAlign w:val="center"/>
          </w:tcPr>
          <w:p>
            <w:r/>
            <w:r>
              <w:rPr>
                <w:b w:val="0"/>
                <w:sz w:val="18"/>
              </w:rPr>
              <w:t>Camera</w:t>
            </w:r>
          </w:p>
        </w:tc>
        <w:tc>
          <w:tcPr>
            <w:tcW w:type="dxa" w:w="6480"/>
            <w:vAlign w:val="center"/>
          </w:tcPr>
          <w:p>
            <w:r/>
            <w:r>
              <w:rPr>
                <w:b w:val="0"/>
                <w:sz w:val="18"/>
              </w:rPr>
              <w:t>Visual record of dispersion color, sedimentation, turbidity, or aggregation</w:t>
            </w:r>
          </w:p>
        </w:tc>
      </w:tr>
      <w:tr>
        <w:tc>
          <w:tcPr>
            <w:tcW w:type="dxa" w:w="3168"/>
            <w:vAlign w:val="center"/>
          </w:tcPr>
          <w:p>
            <w:r/>
            <w:r>
              <w:rPr>
                <w:b w:val="0"/>
                <w:sz w:val="18"/>
              </w:rPr>
              <w:t>Exhaust</w:t>
            </w:r>
          </w:p>
        </w:tc>
        <w:tc>
          <w:tcPr>
            <w:tcW w:type="dxa" w:w="6480"/>
            <w:vAlign w:val="center"/>
          </w:tcPr>
          <w:p>
            <w:r/>
            <w:r>
              <w:rPr>
                <w:b w:val="0"/>
                <w:sz w:val="18"/>
              </w:rPr>
              <w:t>Airflow support during reagent handling if required</w:t>
            </w:r>
          </w:p>
        </w:tc>
      </w:tr>
      <w:tr>
        <w:tc>
          <w:tcPr>
            <w:tcW w:type="dxa" w:w="3168"/>
            <w:vAlign w:val="center"/>
          </w:tcPr>
          <w:p>
            <w:r/>
            <w:r>
              <w:rPr>
                <w:b w:val="0"/>
                <w:sz w:val="18"/>
              </w:rPr>
              <w:t>Environment Sensors</w:t>
            </w:r>
          </w:p>
        </w:tc>
        <w:tc>
          <w:tcPr>
            <w:tcW w:type="dxa" w:w="6480"/>
            <w:vAlign w:val="center"/>
          </w:tcPr>
          <w:p>
            <w:r/>
            <w:r>
              <w:rPr>
                <w:b w:val="0"/>
                <w:sz w:val="18"/>
              </w:rPr>
              <w:t>Ambient chamber condition record</w:t>
            </w:r>
          </w:p>
        </w:tc>
      </w:tr>
      <w:tr>
        <w:tc>
          <w:tcPr>
            <w:tcW w:type="dxa" w:w="3168"/>
            <w:vAlign w:val="center"/>
          </w:tcPr>
          <w:p>
            <w:r/>
            <w:r>
              <w:rPr>
                <w:b w:val="0"/>
                <w:sz w:val="18"/>
              </w:rPr>
              <w:t>Sonicator</w:t>
            </w:r>
          </w:p>
        </w:tc>
        <w:tc>
          <w:tcPr>
            <w:tcW w:type="dxa" w:w="6480"/>
            <w:vAlign w:val="center"/>
          </w:tcPr>
          <w:p>
            <w:r/>
            <w:r>
              <w:rPr>
                <w:b w:val="0"/>
                <w:sz w:val="18"/>
              </w:rPr>
              <w:t>Optional pre-dispersion support for nanoparticle dispersion only</w:t>
            </w:r>
          </w:p>
        </w:tc>
      </w:tr>
      <w:tr>
        <w:tc>
          <w:tcPr>
            <w:tcW w:type="dxa" w:w="3168"/>
            <w:vAlign w:val="center"/>
          </w:tcPr>
          <w:p>
            <w:r/>
            <w:r>
              <w:rPr>
                <w:b w:val="0"/>
                <w:sz w:val="18"/>
              </w:rPr>
              <w:t>Sonicator Bath Heater</w:t>
            </w:r>
          </w:p>
        </w:tc>
        <w:tc>
          <w:tcPr>
            <w:tcW w:type="dxa" w:w="6480"/>
            <w:vAlign w:val="center"/>
          </w:tcPr>
          <w:p>
            <w:r/>
            <w:r>
              <w:rPr>
                <w:b w:val="0"/>
                <w:sz w:val="18"/>
              </w:rPr>
              <w:t>Optional bath temperature support during sonication stage</w:t>
            </w:r>
          </w:p>
        </w:tc>
      </w:tr>
    </w:tbl>
    <w:p>
      <w:r>
        <w:t>The Camera and illumination modules are used for visual documentation only. They should not be described as quantitative UV-Vis measurement, protein quantification, or optical spectroscopy.</w:t>
      </w:r>
    </w:p>
    <w:p>
      <w:pPr>
        <w:pStyle w:val="Heading1"/>
      </w:pPr>
      <w:r>
        <w:t>10. Suggested Model Protein Systems</w:t>
      </w:r>
    </w:p>
    <w:p>
      <w:r>
        <w:t>For webinar and early research demonstration, simple and safe model protein systems should be preferred. The selection should depend on the intent of the study and available downstream analysis.</w:t>
      </w:r>
    </w:p>
    <w:tbl>
      <w:tblPr>
        <w:tblStyle w:val="TableGrid"/>
        <w:tblW w:type="auto" w:w="0"/>
        <w:jc w:val="center"/>
        <w:tblLook w:firstColumn="1" w:firstRow="1" w:lastColumn="0" w:lastRow="0" w:noHBand="0" w:noVBand="1" w:val="04A0"/>
      </w:tblPr>
      <w:tblGrid>
        <w:gridCol w:w="5112"/>
        <w:gridCol w:w="5112"/>
      </w:tblGrid>
      <w:tr>
        <w:tc>
          <w:tcPr>
            <w:tcW w:type="dxa" w:w="3456"/>
            <w:vAlign w:val="center"/>
            <w:shd w:fill="D9EAF7"/>
          </w:tcPr>
          <w:p>
            <w:r/>
            <w:r>
              <w:rPr>
                <w:b/>
                <w:sz w:val="18"/>
              </w:rPr>
              <w:t>Protein system</w:t>
            </w:r>
          </w:p>
        </w:tc>
        <w:tc>
          <w:tcPr>
            <w:tcW w:type="dxa" w:w="6192"/>
            <w:vAlign w:val="center"/>
            <w:shd w:fill="D9EAF7"/>
          </w:tcPr>
          <w:p>
            <w:r/>
            <w:r>
              <w:rPr>
                <w:b/>
                <w:sz w:val="18"/>
              </w:rPr>
              <w:t>Use case</w:t>
            </w:r>
          </w:p>
        </w:tc>
      </w:tr>
      <w:tr>
        <w:tc>
          <w:tcPr>
            <w:tcW w:type="dxa" w:w="3456"/>
            <w:vAlign w:val="center"/>
          </w:tcPr>
          <w:p>
            <w:r/>
            <w:r>
              <w:rPr>
                <w:b w:val="0"/>
                <w:sz w:val="18"/>
              </w:rPr>
              <w:t>Bovine serum albumin (BSA)</w:t>
            </w:r>
          </w:p>
        </w:tc>
        <w:tc>
          <w:tcPr>
            <w:tcW w:type="dxa" w:w="6192"/>
            <w:vAlign w:val="center"/>
          </w:tcPr>
          <w:p>
            <w:r/>
            <w:r>
              <w:rPr>
                <w:b w:val="0"/>
                <w:sz w:val="18"/>
              </w:rPr>
              <w:t>Simple single-protein model for nanoparticle adsorption</w:t>
            </w:r>
          </w:p>
        </w:tc>
      </w:tr>
      <w:tr>
        <w:tc>
          <w:tcPr>
            <w:tcW w:type="dxa" w:w="3456"/>
            <w:vAlign w:val="center"/>
          </w:tcPr>
          <w:p>
            <w:r/>
            <w:r>
              <w:rPr>
                <w:b w:val="0"/>
                <w:sz w:val="18"/>
              </w:rPr>
              <w:t>Human serum albumin model solution</w:t>
            </w:r>
          </w:p>
        </w:tc>
        <w:tc>
          <w:tcPr>
            <w:tcW w:type="dxa" w:w="6192"/>
            <w:vAlign w:val="center"/>
          </w:tcPr>
          <w:p>
            <w:r/>
            <w:r>
              <w:rPr>
                <w:b w:val="0"/>
                <w:sz w:val="18"/>
              </w:rPr>
              <w:t>Closer to biomedical relevance, if available and permitted</w:t>
            </w:r>
          </w:p>
        </w:tc>
      </w:tr>
      <w:tr>
        <w:tc>
          <w:tcPr>
            <w:tcW w:type="dxa" w:w="3456"/>
            <w:vAlign w:val="center"/>
          </w:tcPr>
          <w:p>
            <w:r/>
            <w:r>
              <w:rPr>
                <w:b w:val="0"/>
                <w:sz w:val="18"/>
              </w:rPr>
              <w:t>Fetal bovine serum dilution</w:t>
            </w:r>
          </w:p>
        </w:tc>
        <w:tc>
          <w:tcPr>
            <w:tcW w:type="dxa" w:w="6192"/>
            <w:vAlign w:val="center"/>
          </w:tcPr>
          <w:p>
            <w:r/>
            <w:r>
              <w:rPr>
                <w:b w:val="0"/>
                <w:sz w:val="18"/>
              </w:rPr>
              <w:t>Complex protein mixture for corona simulation</w:t>
            </w:r>
          </w:p>
        </w:tc>
      </w:tr>
      <w:tr>
        <w:tc>
          <w:tcPr>
            <w:tcW w:type="dxa" w:w="3456"/>
            <w:vAlign w:val="center"/>
          </w:tcPr>
          <w:p>
            <w:r/>
            <w:r>
              <w:rPr>
                <w:b w:val="0"/>
                <w:sz w:val="18"/>
              </w:rPr>
              <w:t>Milk protein model solution</w:t>
            </w:r>
          </w:p>
        </w:tc>
        <w:tc>
          <w:tcPr>
            <w:tcW w:type="dxa" w:w="6192"/>
            <w:vAlign w:val="center"/>
          </w:tcPr>
          <w:p>
            <w:r/>
            <w:r>
              <w:rPr>
                <w:b w:val="0"/>
                <w:sz w:val="18"/>
              </w:rPr>
              <w:t>Educational model for demonstrating protein-rich environment</w:t>
            </w:r>
          </w:p>
        </w:tc>
      </w:tr>
      <w:tr>
        <w:tc>
          <w:tcPr>
            <w:tcW w:type="dxa" w:w="3456"/>
            <w:vAlign w:val="center"/>
          </w:tcPr>
          <w:p>
            <w:r/>
            <w:r>
              <w:rPr>
                <w:b w:val="0"/>
                <w:sz w:val="18"/>
              </w:rPr>
              <w:t>Enzyme protein solution</w:t>
            </w:r>
          </w:p>
        </w:tc>
        <w:tc>
          <w:tcPr>
            <w:tcW w:type="dxa" w:w="6192"/>
            <w:vAlign w:val="center"/>
          </w:tcPr>
          <w:p>
            <w:r/>
            <w:r>
              <w:rPr>
                <w:b w:val="0"/>
                <w:sz w:val="18"/>
              </w:rPr>
              <w:t>Can connect corona formation with activity-change studies</w:t>
            </w:r>
          </w:p>
        </w:tc>
      </w:tr>
    </w:tbl>
    <w:p>
      <w:pPr>
        <w:pStyle w:val="Heading1"/>
      </w:pPr>
      <w:r>
        <w:t>11. Expected Observations and Preliminary Meaning</w:t>
      </w:r>
    </w:p>
    <w:tbl>
      <w:tblPr>
        <w:tblStyle w:val="TableGrid"/>
        <w:tblW w:type="auto" w:w="0"/>
        <w:jc w:val="center"/>
        <w:tblLook w:firstColumn="1" w:firstRow="1" w:lastColumn="0" w:lastRow="0" w:noHBand="0" w:noVBand="1" w:val="04A0"/>
      </w:tblPr>
      <w:tblGrid>
        <w:gridCol w:w="5112"/>
        <w:gridCol w:w="5112"/>
      </w:tblGrid>
      <w:tr>
        <w:tc>
          <w:tcPr>
            <w:tcW w:type="dxa" w:w="3600"/>
            <w:vAlign w:val="center"/>
            <w:shd w:fill="D9EAF7"/>
          </w:tcPr>
          <w:p>
            <w:r/>
            <w:r>
              <w:rPr>
                <w:b/>
                <w:sz w:val="18"/>
              </w:rPr>
              <w:t>Observation</w:t>
            </w:r>
          </w:p>
        </w:tc>
        <w:tc>
          <w:tcPr>
            <w:tcW w:type="dxa" w:w="6048"/>
            <w:vAlign w:val="center"/>
            <w:shd w:fill="D9EAF7"/>
          </w:tcPr>
          <w:p>
            <w:r/>
            <w:r>
              <w:rPr>
                <w:b/>
                <w:sz w:val="18"/>
              </w:rPr>
              <w:t>Possible interpretation</w:t>
            </w:r>
          </w:p>
        </w:tc>
      </w:tr>
      <w:tr>
        <w:tc>
          <w:tcPr>
            <w:tcW w:type="dxa" w:w="3600"/>
            <w:vAlign w:val="center"/>
          </w:tcPr>
          <w:p>
            <w:r/>
            <w:r>
              <w:rPr>
                <w:b w:val="0"/>
                <w:sz w:val="18"/>
              </w:rPr>
              <w:t>No visible change</w:t>
            </w:r>
          </w:p>
        </w:tc>
        <w:tc>
          <w:tcPr>
            <w:tcW w:type="dxa" w:w="6048"/>
            <w:vAlign w:val="center"/>
          </w:tcPr>
          <w:p>
            <w:r/>
            <w:r>
              <w:rPr>
                <w:b w:val="0"/>
                <w:sz w:val="18"/>
              </w:rPr>
              <w:t>Corona may still form; external analysis is needed</w:t>
            </w:r>
          </w:p>
        </w:tc>
      </w:tr>
      <w:tr>
        <w:tc>
          <w:tcPr>
            <w:tcW w:type="dxa" w:w="3600"/>
            <w:vAlign w:val="center"/>
          </w:tcPr>
          <w:p>
            <w:r/>
            <w:r>
              <w:rPr>
                <w:b w:val="0"/>
                <w:sz w:val="18"/>
              </w:rPr>
              <w:t>Slight color shift</w:t>
            </w:r>
          </w:p>
        </w:tc>
        <w:tc>
          <w:tcPr>
            <w:tcW w:type="dxa" w:w="6048"/>
            <w:vAlign w:val="center"/>
          </w:tcPr>
          <w:p>
            <w:r/>
            <w:r>
              <w:rPr>
                <w:b w:val="0"/>
                <w:sz w:val="18"/>
              </w:rPr>
              <w:t>Possible surface environment change or mild aggregation</w:t>
            </w:r>
          </w:p>
        </w:tc>
      </w:tr>
      <w:tr>
        <w:tc>
          <w:tcPr>
            <w:tcW w:type="dxa" w:w="3600"/>
            <w:vAlign w:val="center"/>
          </w:tcPr>
          <w:p>
            <w:r/>
            <w:r>
              <w:rPr>
                <w:b w:val="0"/>
                <w:sz w:val="18"/>
              </w:rPr>
              <w:t>Increased turbidity</w:t>
            </w:r>
          </w:p>
        </w:tc>
        <w:tc>
          <w:tcPr>
            <w:tcW w:type="dxa" w:w="6048"/>
            <w:vAlign w:val="center"/>
          </w:tcPr>
          <w:p>
            <w:r/>
            <w:r>
              <w:rPr>
                <w:b w:val="0"/>
                <w:sz w:val="18"/>
              </w:rPr>
              <w:t>Possible protein adsorption, aggregation, or complex formation</w:t>
            </w:r>
          </w:p>
        </w:tc>
      </w:tr>
      <w:tr>
        <w:tc>
          <w:tcPr>
            <w:tcW w:type="dxa" w:w="3600"/>
            <w:vAlign w:val="center"/>
          </w:tcPr>
          <w:p>
            <w:r/>
            <w:r>
              <w:rPr>
                <w:b w:val="0"/>
                <w:sz w:val="18"/>
              </w:rPr>
              <w:t>Visible sediment</w:t>
            </w:r>
          </w:p>
        </w:tc>
        <w:tc>
          <w:tcPr>
            <w:tcW w:type="dxa" w:w="6048"/>
            <w:vAlign w:val="center"/>
          </w:tcPr>
          <w:p>
            <w:r/>
            <w:r>
              <w:rPr>
                <w:b w:val="0"/>
                <w:sz w:val="18"/>
              </w:rPr>
              <w:t>Possible nanoparticle aggregation or unstable protein-particle complex</w:t>
            </w:r>
          </w:p>
        </w:tc>
      </w:tr>
      <w:tr>
        <w:tc>
          <w:tcPr>
            <w:tcW w:type="dxa" w:w="3600"/>
            <w:vAlign w:val="center"/>
          </w:tcPr>
          <w:p>
            <w:r/>
            <w:r>
              <w:rPr>
                <w:b w:val="0"/>
                <w:sz w:val="18"/>
              </w:rPr>
              <w:t>Improved stability in salt medium</w:t>
            </w:r>
          </w:p>
        </w:tc>
        <w:tc>
          <w:tcPr>
            <w:tcW w:type="dxa" w:w="6048"/>
            <w:vAlign w:val="center"/>
          </w:tcPr>
          <w:p>
            <w:r/>
            <w:r>
              <w:rPr>
                <w:b w:val="0"/>
                <w:sz w:val="18"/>
              </w:rPr>
              <w:t>Protein layer may be providing colloidal stabilization</w:t>
            </w:r>
          </w:p>
        </w:tc>
      </w:tr>
      <w:tr>
        <w:tc>
          <w:tcPr>
            <w:tcW w:type="dxa" w:w="3600"/>
            <w:vAlign w:val="center"/>
          </w:tcPr>
          <w:p>
            <w:r/>
            <w:r>
              <w:rPr>
                <w:b w:val="0"/>
                <w:sz w:val="18"/>
              </w:rPr>
              <w:t>Foam formation</w:t>
            </w:r>
          </w:p>
        </w:tc>
        <w:tc>
          <w:tcPr>
            <w:tcW w:type="dxa" w:w="6048"/>
            <w:vAlign w:val="center"/>
          </w:tcPr>
          <w:p>
            <w:r/>
            <w:r>
              <w:rPr>
                <w:b w:val="0"/>
                <w:sz w:val="18"/>
              </w:rPr>
              <w:t>Excessive mixing or protein solution behaviour</w:t>
            </w:r>
          </w:p>
        </w:tc>
      </w:tr>
      <w:tr>
        <w:tc>
          <w:tcPr>
            <w:tcW w:type="dxa" w:w="3600"/>
            <w:vAlign w:val="center"/>
          </w:tcPr>
          <w:p>
            <w:r/>
            <w:r>
              <w:rPr>
                <w:b w:val="0"/>
                <w:sz w:val="18"/>
              </w:rPr>
              <w:t>Non-uniform color</w:t>
            </w:r>
          </w:p>
        </w:tc>
        <w:tc>
          <w:tcPr>
            <w:tcW w:type="dxa" w:w="6048"/>
            <w:vAlign w:val="center"/>
          </w:tcPr>
          <w:p>
            <w:r/>
            <w:r>
              <w:rPr>
                <w:b w:val="0"/>
                <w:sz w:val="18"/>
              </w:rPr>
              <w:t>Poor mixing or localized aggregation</w:t>
            </w:r>
          </w:p>
        </w:tc>
      </w:tr>
    </w:tbl>
    <w:p>
      <w:r>
        <w:t>These observations are preliminary only. They are useful for screening and documentation but cannot prove corona identity, corona thickness, or protein composition.</w:t>
      </w:r>
    </w:p>
    <w:p>
      <w:pPr>
        <w:pStyle w:val="Heading1"/>
      </w:pPr>
      <w:r>
        <w:t>12. Interpretation Strategy</w:t>
      </w:r>
    </w:p>
    <w:p>
      <w:r>
        <w:t>The interpretation should follow a careful staged approach. The first question is whether the sample remained visibly stable after protein exposure. The second question is whether the protein-treated nanoparticles behave differently from untreated control nanoparticles. The third question is whether external tests confirm protein association.</w:t>
      </w:r>
    </w:p>
    <w:p>
      <w:pPr>
        <w:pStyle w:val="ListNumber"/>
      </w:pPr>
      <w:r>
        <w:t>Compare AgNP-only control with AgNP-plus-protein sample.</w:t>
      </w:r>
    </w:p>
    <w:p>
      <w:pPr>
        <w:pStyle w:val="ListNumber"/>
      </w:pPr>
      <w:r>
        <w:t>Record color, turbidity, aggregation, and settling under the same lighting conditions.</w:t>
      </w:r>
    </w:p>
    <w:p>
      <w:pPr>
        <w:pStyle w:val="ListNumber"/>
      </w:pPr>
      <w:r>
        <w:t>If washing is performed, compare pre-wash and post-wash samples.</w:t>
      </w:r>
    </w:p>
    <w:p>
      <w:pPr>
        <w:pStyle w:val="ListNumber"/>
      </w:pPr>
      <w:r>
        <w:t>Use external protein assay or gel-based analysis to confirm protein association.</w:t>
      </w:r>
    </w:p>
    <w:p>
      <w:pPr>
        <w:pStyle w:val="ListNumber"/>
      </w:pPr>
      <w:r>
        <w:t>Use DLS and zeta potential externally to detect size and surface charge changes.</w:t>
      </w:r>
    </w:p>
    <w:p>
      <w:pPr>
        <w:pStyle w:val="ListNumber"/>
      </w:pPr>
      <w:r>
        <w:t>Interpret biological implications only after suitable downstream validation.</w:t>
      </w:r>
    </w:p>
    <w:p>
      <w:pPr>
        <w:pStyle w:val="Heading1"/>
      </w:pPr>
      <w:r>
        <w:t>13. Recommended Control Samples</w:t>
      </w:r>
    </w:p>
    <w:tbl>
      <w:tblPr>
        <w:tblStyle w:val="TableGrid"/>
        <w:tblW w:type="auto" w:w="0"/>
        <w:jc w:val="center"/>
        <w:tblLook w:firstColumn="1" w:firstRow="1" w:lastColumn="0" w:lastRow="0" w:noHBand="0" w:noVBand="1" w:val="04A0"/>
      </w:tblPr>
      <w:tblGrid>
        <w:gridCol w:w="5112"/>
        <w:gridCol w:w="5112"/>
      </w:tblGrid>
      <w:tr>
        <w:tc>
          <w:tcPr>
            <w:tcW w:type="dxa" w:w="3600"/>
            <w:vAlign w:val="center"/>
            <w:shd w:fill="D9EAF7"/>
          </w:tcPr>
          <w:p>
            <w:r/>
            <w:r>
              <w:rPr>
                <w:b/>
                <w:sz w:val="18"/>
              </w:rPr>
              <w:t>Control</w:t>
            </w:r>
          </w:p>
        </w:tc>
        <w:tc>
          <w:tcPr>
            <w:tcW w:type="dxa" w:w="6048"/>
            <w:vAlign w:val="center"/>
            <w:shd w:fill="D9EAF7"/>
          </w:tcPr>
          <w:p>
            <w:r/>
            <w:r>
              <w:rPr>
                <w:b/>
                <w:sz w:val="18"/>
              </w:rPr>
              <w:t>Purpose</w:t>
            </w:r>
          </w:p>
        </w:tc>
      </w:tr>
      <w:tr>
        <w:tc>
          <w:tcPr>
            <w:tcW w:type="dxa" w:w="3600"/>
            <w:vAlign w:val="center"/>
          </w:tcPr>
          <w:p>
            <w:r/>
            <w:r>
              <w:rPr>
                <w:b w:val="0"/>
                <w:sz w:val="18"/>
              </w:rPr>
              <w:t>AgNP only</w:t>
            </w:r>
          </w:p>
        </w:tc>
        <w:tc>
          <w:tcPr>
            <w:tcW w:type="dxa" w:w="6048"/>
            <w:vAlign w:val="center"/>
          </w:tcPr>
          <w:p>
            <w:r/>
            <w:r>
              <w:rPr>
                <w:b w:val="0"/>
                <w:sz w:val="18"/>
              </w:rPr>
              <w:t>Baseline nanoparticle appearance and stability</w:t>
            </w:r>
          </w:p>
        </w:tc>
      </w:tr>
      <w:tr>
        <w:tc>
          <w:tcPr>
            <w:tcW w:type="dxa" w:w="3600"/>
            <w:vAlign w:val="center"/>
          </w:tcPr>
          <w:p>
            <w:r/>
            <w:r>
              <w:rPr>
                <w:b w:val="0"/>
                <w:sz w:val="18"/>
              </w:rPr>
              <w:t>Protein only</w:t>
            </w:r>
          </w:p>
        </w:tc>
        <w:tc>
          <w:tcPr>
            <w:tcW w:type="dxa" w:w="6048"/>
            <w:vAlign w:val="center"/>
          </w:tcPr>
          <w:p>
            <w:r/>
            <w:r>
              <w:rPr>
                <w:b w:val="0"/>
                <w:sz w:val="18"/>
              </w:rPr>
              <w:t>Baseline protein solution appearance</w:t>
            </w:r>
          </w:p>
        </w:tc>
      </w:tr>
      <w:tr>
        <w:tc>
          <w:tcPr>
            <w:tcW w:type="dxa" w:w="3600"/>
            <w:vAlign w:val="center"/>
          </w:tcPr>
          <w:p>
            <w:r/>
            <w:r>
              <w:rPr>
                <w:b w:val="0"/>
                <w:sz w:val="18"/>
              </w:rPr>
              <w:t>AgNP + buffer</w:t>
            </w:r>
          </w:p>
        </w:tc>
        <w:tc>
          <w:tcPr>
            <w:tcW w:type="dxa" w:w="6048"/>
            <w:vAlign w:val="center"/>
          </w:tcPr>
          <w:p>
            <w:r/>
            <w:r>
              <w:rPr>
                <w:b w:val="0"/>
                <w:sz w:val="18"/>
              </w:rPr>
              <w:t>Effect of buffer without protein</w:t>
            </w:r>
          </w:p>
        </w:tc>
      </w:tr>
      <w:tr>
        <w:tc>
          <w:tcPr>
            <w:tcW w:type="dxa" w:w="3600"/>
            <w:vAlign w:val="center"/>
          </w:tcPr>
          <w:p>
            <w:r/>
            <w:r>
              <w:rPr>
                <w:b w:val="0"/>
                <w:sz w:val="18"/>
              </w:rPr>
              <w:t>AgNP + low protein concentration</w:t>
            </w:r>
          </w:p>
        </w:tc>
        <w:tc>
          <w:tcPr>
            <w:tcW w:type="dxa" w:w="6048"/>
            <w:vAlign w:val="center"/>
          </w:tcPr>
          <w:p>
            <w:r/>
            <w:r>
              <w:rPr>
                <w:b w:val="0"/>
                <w:sz w:val="18"/>
              </w:rPr>
              <w:t>Low corona coverage condition</w:t>
            </w:r>
          </w:p>
        </w:tc>
      </w:tr>
      <w:tr>
        <w:tc>
          <w:tcPr>
            <w:tcW w:type="dxa" w:w="3600"/>
            <w:vAlign w:val="center"/>
          </w:tcPr>
          <w:p>
            <w:r/>
            <w:r>
              <w:rPr>
                <w:b w:val="0"/>
                <w:sz w:val="18"/>
              </w:rPr>
              <w:t>AgNP + high protein concentration</w:t>
            </w:r>
          </w:p>
        </w:tc>
        <w:tc>
          <w:tcPr>
            <w:tcW w:type="dxa" w:w="6048"/>
            <w:vAlign w:val="center"/>
          </w:tcPr>
          <w:p>
            <w:r/>
            <w:r>
              <w:rPr>
                <w:b w:val="0"/>
                <w:sz w:val="18"/>
              </w:rPr>
              <w:t>Higher corona coverage or saturation condition</w:t>
            </w:r>
          </w:p>
        </w:tc>
      </w:tr>
      <w:tr>
        <w:tc>
          <w:tcPr>
            <w:tcW w:type="dxa" w:w="3600"/>
            <w:vAlign w:val="center"/>
          </w:tcPr>
          <w:p>
            <w:r/>
            <w:r>
              <w:rPr>
                <w:b w:val="0"/>
                <w:sz w:val="18"/>
              </w:rPr>
              <w:t>Washed corona sample</w:t>
            </w:r>
          </w:p>
        </w:tc>
        <w:tc>
          <w:tcPr>
            <w:tcW w:type="dxa" w:w="6048"/>
            <w:vAlign w:val="center"/>
          </w:tcPr>
          <w:p>
            <w:r/>
            <w:r>
              <w:rPr>
                <w:b w:val="0"/>
                <w:sz w:val="18"/>
              </w:rPr>
              <w:t>Harder-bound protein fraction model</w:t>
            </w:r>
          </w:p>
        </w:tc>
      </w:tr>
    </w:tbl>
    <w:p>
      <w:pPr>
        <w:pStyle w:val="Heading1"/>
      </w:pPr>
      <w:r>
        <w:t>14. Suggested Offline Characterization Plan</w:t>
      </w:r>
    </w:p>
    <w:tbl>
      <w:tblPr>
        <w:tblStyle w:val="TableGrid"/>
        <w:tblW w:type="auto" w:w="0"/>
        <w:jc w:val="center"/>
        <w:tblLook w:firstColumn="1" w:firstRow="1" w:lastColumn="0" w:lastRow="0" w:noHBand="0" w:noVBand="1" w:val="04A0"/>
      </w:tblPr>
      <w:tblGrid>
        <w:gridCol w:w="5112"/>
        <w:gridCol w:w="5112"/>
      </w:tblGrid>
      <w:tr>
        <w:tc>
          <w:tcPr>
            <w:tcW w:type="dxa" w:w="3456"/>
            <w:vAlign w:val="center"/>
            <w:shd w:fill="D9EAF7"/>
          </w:tcPr>
          <w:p>
            <w:r/>
            <w:r>
              <w:rPr>
                <w:b/>
                <w:sz w:val="18"/>
              </w:rPr>
              <w:t>External test</w:t>
            </w:r>
          </w:p>
        </w:tc>
        <w:tc>
          <w:tcPr>
            <w:tcW w:type="dxa" w:w="6336"/>
            <w:vAlign w:val="center"/>
            <w:shd w:fill="D9EAF7"/>
          </w:tcPr>
          <w:p>
            <w:r/>
            <w:r>
              <w:rPr>
                <w:b/>
                <w:sz w:val="18"/>
              </w:rPr>
              <w:t>Purpose</w:t>
            </w:r>
          </w:p>
        </w:tc>
      </w:tr>
      <w:tr>
        <w:tc>
          <w:tcPr>
            <w:tcW w:type="dxa" w:w="3456"/>
            <w:vAlign w:val="center"/>
          </w:tcPr>
          <w:p>
            <w:r/>
            <w:r>
              <w:rPr>
                <w:b w:val="0"/>
                <w:sz w:val="18"/>
              </w:rPr>
              <w:t>UV-Vis spectroscopy</w:t>
            </w:r>
          </w:p>
        </w:tc>
        <w:tc>
          <w:tcPr>
            <w:tcW w:type="dxa" w:w="6336"/>
            <w:vAlign w:val="center"/>
          </w:tcPr>
          <w:p>
            <w:r/>
            <w:r>
              <w:rPr>
                <w:b w:val="0"/>
                <w:sz w:val="18"/>
              </w:rPr>
              <w:t>Observe AgNP plasmon changes and aggregation-related shifts</w:t>
            </w:r>
          </w:p>
        </w:tc>
      </w:tr>
      <w:tr>
        <w:tc>
          <w:tcPr>
            <w:tcW w:type="dxa" w:w="3456"/>
            <w:vAlign w:val="center"/>
          </w:tcPr>
          <w:p>
            <w:r/>
            <w:r>
              <w:rPr>
                <w:b w:val="0"/>
                <w:sz w:val="18"/>
              </w:rPr>
              <w:t>DLS</w:t>
            </w:r>
          </w:p>
        </w:tc>
        <w:tc>
          <w:tcPr>
            <w:tcW w:type="dxa" w:w="6336"/>
            <w:vAlign w:val="center"/>
          </w:tcPr>
          <w:p>
            <w:r/>
            <w:r>
              <w:rPr>
                <w:b w:val="0"/>
                <w:sz w:val="18"/>
              </w:rPr>
              <w:t>Measure hydrodynamic size change after protein exposure</w:t>
            </w:r>
          </w:p>
        </w:tc>
      </w:tr>
      <w:tr>
        <w:tc>
          <w:tcPr>
            <w:tcW w:type="dxa" w:w="3456"/>
            <w:vAlign w:val="center"/>
          </w:tcPr>
          <w:p>
            <w:r/>
            <w:r>
              <w:rPr>
                <w:b w:val="0"/>
                <w:sz w:val="18"/>
              </w:rPr>
              <w:t>Zeta potential</w:t>
            </w:r>
          </w:p>
        </w:tc>
        <w:tc>
          <w:tcPr>
            <w:tcW w:type="dxa" w:w="6336"/>
            <w:vAlign w:val="center"/>
          </w:tcPr>
          <w:p>
            <w:r/>
            <w:r>
              <w:rPr>
                <w:b w:val="0"/>
                <w:sz w:val="18"/>
              </w:rPr>
              <w:t>Evaluate surface charge modification</w:t>
            </w:r>
          </w:p>
        </w:tc>
      </w:tr>
      <w:tr>
        <w:tc>
          <w:tcPr>
            <w:tcW w:type="dxa" w:w="3456"/>
            <w:vAlign w:val="center"/>
          </w:tcPr>
          <w:p>
            <w:r/>
            <w:r>
              <w:rPr>
                <w:b w:val="0"/>
                <w:sz w:val="18"/>
              </w:rPr>
              <w:t>BCA or Bradford assay</w:t>
            </w:r>
          </w:p>
        </w:tc>
        <w:tc>
          <w:tcPr>
            <w:tcW w:type="dxa" w:w="6336"/>
            <w:vAlign w:val="center"/>
          </w:tcPr>
          <w:p>
            <w:r/>
            <w:r>
              <w:rPr>
                <w:b w:val="0"/>
                <w:sz w:val="18"/>
              </w:rPr>
              <w:t>Estimate protein associated with nanoparticles or remaining in supernatant</w:t>
            </w:r>
          </w:p>
        </w:tc>
      </w:tr>
      <w:tr>
        <w:tc>
          <w:tcPr>
            <w:tcW w:type="dxa" w:w="3456"/>
            <w:vAlign w:val="center"/>
          </w:tcPr>
          <w:p>
            <w:r/>
            <w:r>
              <w:rPr>
                <w:b w:val="0"/>
                <w:sz w:val="18"/>
              </w:rPr>
              <w:t>SDS-PAGE</w:t>
            </w:r>
          </w:p>
        </w:tc>
        <w:tc>
          <w:tcPr>
            <w:tcW w:type="dxa" w:w="6336"/>
            <w:vAlign w:val="center"/>
          </w:tcPr>
          <w:p>
            <w:r/>
            <w:r>
              <w:rPr>
                <w:b w:val="0"/>
                <w:sz w:val="18"/>
              </w:rPr>
              <w:t>Compare protein bands associated with nanoparticle pellet</w:t>
            </w:r>
          </w:p>
        </w:tc>
      </w:tr>
      <w:tr>
        <w:tc>
          <w:tcPr>
            <w:tcW w:type="dxa" w:w="3456"/>
            <w:vAlign w:val="center"/>
          </w:tcPr>
          <w:p>
            <w:r/>
            <w:r>
              <w:rPr>
                <w:b w:val="0"/>
                <w:sz w:val="18"/>
              </w:rPr>
              <w:t>Fluorescence assay</w:t>
            </w:r>
          </w:p>
        </w:tc>
        <w:tc>
          <w:tcPr>
            <w:tcW w:type="dxa" w:w="6336"/>
            <w:vAlign w:val="center"/>
          </w:tcPr>
          <w:p>
            <w:r/>
            <w:r>
              <w:rPr>
                <w:b w:val="0"/>
                <w:sz w:val="18"/>
              </w:rPr>
              <w:t>Track labelled protein binding if suitable</w:t>
            </w:r>
          </w:p>
        </w:tc>
      </w:tr>
      <w:tr>
        <w:tc>
          <w:tcPr>
            <w:tcW w:type="dxa" w:w="3456"/>
            <w:vAlign w:val="center"/>
          </w:tcPr>
          <w:p>
            <w:r/>
            <w:r>
              <w:rPr>
                <w:b w:val="0"/>
                <w:sz w:val="18"/>
              </w:rPr>
              <w:t>FTIR</w:t>
            </w:r>
          </w:p>
        </w:tc>
        <w:tc>
          <w:tcPr>
            <w:tcW w:type="dxa" w:w="6336"/>
            <w:vAlign w:val="center"/>
          </w:tcPr>
          <w:p>
            <w:r/>
            <w:r>
              <w:rPr>
                <w:b w:val="0"/>
                <w:sz w:val="18"/>
              </w:rPr>
              <w:t>Detect functional group changes or protein signatures</w:t>
            </w:r>
          </w:p>
        </w:tc>
      </w:tr>
      <w:tr>
        <w:tc>
          <w:tcPr>
            <w:tcW w:type="dxa" w:w="3456"/>
            <w:vAlign w:val="center"/>
          </w:tcPr>
          <w:p>
            <w:r/>
            <w:r>
              <w:rPr>
                <w:b w:val="0"/>
                <w:sz w:val="18"/>
              </w:rPr>
              <w:t>TEM/SEM</w:t>
            </w:r>
          </w:p>
        </w:tc>
        <w:tc>
          <w:tcPr>
            <w:tcW w:type="dxa" w:w="6336"/>
            <w:vAlign w:val="center"/>
          </w:tcPr>
          <w:p>
            <w:r/>
            <w:r>
              <w:rPr>
                <w:b w:val="0"/>
                <w:sz w:val="18"/>
              </w:rPr>
              <w:t>Observe morphology and aggregation state</w:t>
            </w:r>
          </w:p>
        </w:tc>
      </w:tr>
      <w:tr>
        <w:tc>
          <w:tcPr>
            <w:tcW w:type="dxa" w:w="3456"/>
            <w:vAlign w:val="center"/>
          </w:tcPr>
          <w:p>
            <w:r/>
            <w:r>
              <w:rPr>
                <w:b w:val="0"/>
                <w:sz w:val="18"/>
              </w:rPr>
              <w:t>Mass spectrometry</w:t>
            </w:r>
          </w:p>
        </w:tc>
        <w:tc>
          <w:tcPr>
            <w:tcW w:type="dxa" w:w="6336"/>
            <w:vAlign w:val="center"/>
          </w:tcPr>
          <w:p>
            <w:r/>
            <w:r>
              <w:rPr>
                <w:b w:val="0"/>
                <w:sz w:val="18"/>
              </w:rPr>
              <w:t>Advanced identification of corona protein composition</w:t>
            </w:r>
          </w:p>
        </w:tc>
      </w:tr>
    </w:tbl>
    <w:p>
      <w:pPr>
        <w:pStyle w:val="Heading1"/>
      </w:pPr>
      <w:r>
        <w:t>15. Suggested Batch Record Format</w:t>
      </w:r>
    </w:p>
    <w:tbl>
      <w:tblPr>
        <w:tblStyle w:val="TableGrid"/>
        <w:tblW w:type="auto" w:w="0"/>
        <w:jc w:val="center"/>
        <w:tblLook w:firstColumn="1" w:firstRow="1" w:lastColumn="0" w:lastRow="0" w:noHBand="0" w:noVBand="1" w:val="04A0"/>
      </w:tblPr>
      <w:tblGrid>
        <w:gridCol w:w="1278"/>
        <w:gridCol w:w="1278"/>
        <w:gridCol w:w="1278"/>
        <w:gridCol w:w="1278"/>
        <w:gridCol w:w="1278"/>
        <w:gridCol w:w="1278"/>
        <w:gridCol w:w="1278"/>
        <w:gridCol w:w="1278"/>
      </w:tblGrid>
      <w:tr>
        <w:tc>
          <w:tcPr>
            <w:tcW w:type="dxa" w:w="1152"/>
            <w:vAlign w:val="center"/>
            <w:shd w:fill="D9EAF7"/>
          </w:tcPr>
          <w:p>
            <w:r/>
            <w:r>
              <w:rPr>
                <w:b/>
                <w:sz w:val="18"/>
              </w:rPr>
              <w:t>Batch ID</w:t>
            </w:r>
          </w:p>
        </w:tc>
        <w:tc>
          <w:tcPr>
            <w:tcW w:type="dxa" w:w="1224"/>
            <w:vAlign w:val="center"/>
            <w:shd w:fill="D9EAF7"/>
          </w:tcPr>
          <w:p>
            <w:r/>
            <w:r>
              <w:rPr>
                <w:b/>
                <w:sz w:val="18"/>
              </w:rPr>
              <w:t>AgNP level</w:t>
            </w:r>
          </w:p>
        </w:tc>
        <w:tc>
          <w:tcPr>
            <w:tcW w:type="dxa" w:w="1440"/>
            <w:vAlign w:val="center"/>
            <w:shd w:fill="D9EAF7"/>
          </w:tcPr>
          <w:p>
            <w:r/>
            <w:r>
              <w:rPr>
                <w:b/>
                <w:sz w:val="18"/>
              </w:rPr>
              <w:t>Protein type</w:t>
            </w:r>
          </w:p>
        </w:tc>
        <w:tc>
          <w:tcPr>
            <w:tcW w:type="dxa" w:w="1440"/>
            <w:vAlign w:val="center"/>
            <w:shd w:fill="D9EAF7"/>
          </w:tcPr>
          <w:p>
            <w:r/>
            <w:r>
              <w:rPr>
                <w:b/>
                <w:sz w:val="18"/>
              </w:rPr>
              <w:t>Protein level</w:t>
            </w:r>
          </w:p>
        </w:tc>
        <w:tc>
          <w:tcPr>
            <w:tcW w:type="dxa" w:w="1296"/>
            <w:vAlign w:val="center"/>
            <w:shd w:fill="D9EAF7"/>
          </w:tcPr>
          <w:p>
            <w:r/>
            <w:r>
              <w:rPr>
                <w:b/>
                <w:sz w:val="18"/>
              </w:rPr>
              <w:t>Incubation</w:t>
            </w:r>
          </w:p>
        </w:tc>
        <w:tc>
          <w:tcPr>
            <w:tcW w:type="dxa" w:w="1296"/>
            <w:vAlign w:val="center"/>
            <w:shd w:fill="D9EAF7"/>
          </w:tcPr>
          <w:p>
            <w:r/>
            <w:r>
              <w:rPr>
                <w:b/>
                <w:sz w:val="18"/>
              </w:rPr>
              <w:t>Mixing</w:t>
            </w:r>
          </w:p>
        </w:tc>
        <w:tc>
          <w:tcPr>
            <w:tcW w:type="dxa" w:w="1584"/>
            <w:vAlign w:val="center"/>
            <w:shd w:fill="D9EAF7"/>
          </w:tcPr>
          <w:p>
            <w:r/>
            <w:r>
              <w:rPr>
                <w:b/>
                <w:sz w:val="18"/>
              </w:rPr>
              <w:t>Visual result</w:t>
            </w:r>
          </w:p>
        </w:tc>
        <w:tc>
          <w:tcPr>
            <w:tcW w:type="dxa" w:w="1584"/>
            <w:vAlign w:val="center"/>
            <w:shd w:fill="D9EAF7"/>
          </w:tcPr>
          <w:p>
            <w:r/>
            <w:r>
              <w:rPr>
                <w:b/>
                <w:sz w:val="18"/>
              </w:rPr>
              <w:t>Remarks</w:t>
            </w:r>
          </w:p>
        </w:tc>
      </w:tr>
      <w:tr>
        <w:tc>
          <w:tcPr>
            <w:tcW w:type="dxa" w:w="1152"/>
            <w:vAlign w:val="center"/>
          </w:tcPr>
          <w:p>
            <w:r/>
            <w:r>
              <w:rPr>
                <w:b w:val="0"/>
                <w:sz w:val="18"/>
              </w:rPr>
              <w:t>COR-01</w:t>
            </w:r>
          </w:p>
        </w:tc>
        <w:tc>
          <w:tcPr>
            <w:tcW w:type="dxa" w:w="1224"/>
            <w:vAlign w:val="center"/>
          </w:tcPr>
          <w:p>
            <w:r/>
            <w:r>
              <w:rPr>
                <w:b w:val="0"/>
                <w:sz w:val="18"/>
              </w:rPr>
              <w:t>Low</w:t>
            </w:r>
          </w:p>
        </w:tc>
        <w:tc>
          <w:tcPr>
            <w:tcW w:type="dxa" w:w="1440"/>
            <w:vAlign w:val="center"/>
          </w:tcPr>
          <w:p>
            <w:r/>
            <w:r>
              <w:rPr>
                <w:b w:val="0"/>
                <w:sz w:val="18"/>
              </w:rPr>
              <w:t>BSA</w:t>
            </w:r>
          </w:p>
        </w:tc>
        <w:tc>
          <w:tcPr>
            <w:tcW w:type="dxa" w:w="1440"/>
            <w:vAlign w:val="center"/>
          </w:tcPr>
          <w:p>
            <w:r/>
            <w:r>
              <w:rPr>
                <w:b w:val="0"/>
                <w:sz w:val="18"/>
              </w:rPr>
              <w:t>Low</w:t>
            </w:r>
          </w:p>
        </w:tc>
        <w:tc>
          <w:tcPr>
            <w:tcW w:type="dxa" w:w="1296"/>
            <w:vAlign w:val="center"/>
          </w:tcPr>
          <w:p>
            <w:r/>
            <w:r>
              <w:rPr>
                <w:b w:val="0"/>
                <w:sz w:val="18"/>
              </w:rPr>
              <w:t>30 min</w:t>
            </w:r>
          </w:p>
        </w:tc>
        <w:tc>
          <w:tcPr>
            <w:tcW w:type="dxa" w:w="1296"/>
            <w:vAlign w:val="center"/>
          </w:tcPr>
          <w:p>
            <w:r/>
            <w:r>
              <w:rPr>
                <w:b w:val="0"/>
                <w:sz w:val="18"/>
              </w:rPr>
              <w:t>300 RPM</w:t>
            </w:r>
          </w:p>
        </w:tc>
        <w:tc>
          <w:tcPr>
            <w:tcW w:type="dxa" w:w="1584"/>
            <w:vAlign w:val="center"/>
          </w:tcPr>
          <w:p>
            <w:r/>
            <w:r>
              <w:rPr>
                <w:b w:val="0"/>
                <w:sz w:val="18"/>
              </w:rPr>
              <w:t>Stable</w:t>
            </w:r>
          </w:p>
        </w:tc>
        <w:tc>
          <w:tcPr>
            <w:tcW w:type="dxa" w:w="1584"/>
            <w:vAlign w:val="center"/>
          </w:tcPr>
          <w:p>
            <w:r/>
            <w:r>
              <w:rPr>
                <w:b w:val="0"/>
                <w:sz w:val="18"/>
              </w:rPr>
              <w:t>Baseline low coverage</w:t>
            </w:r>
          </w:p>
        </w:tc>
      </w:tr>
      <w:tr>
        <w:tc>
          <w:tcPr>
            <w:tcW w:type="dxa" w:w="1152"/>
            <w:vAlign w:val="center"/>
          </w:tcPr>
          <w:p>
            <w:r/>
            <w:r>
              <w:rPr>
                <w:b w:val="0"/>
                <w:sz w:val="18"/>
              </w:rPr>
              <w:t>COR-02</w:t>
            </w:r>
          </w:p>
        </w:tc>
        <w:tc>
          <w:tcPr>
            <w:tcW w:type="dxa" w:w="1224"/>
            <w:vAlign w:val="center"/>
          </w:tcPr>
          <w:p>
            <w:r/>
            <w:r>
              <w:rPr>
                <w:b w:val="0"/>
                <w:sz w:val="18"/>
              </w:rPr>
              <w:t>Medium</w:t>
            </w:r>
          </w:p>
        </w:tc>
        <w:tc>
          <w:tcPr>
            <w:tcW w:type="dxa" w:w="1440"/>
            <w:vAlign w:val="center"/>
          </w:tcPr>
          <w:p>
            <w:r/>
            <w:r>
              <w:rPr>
                <w:b w:val="0"/>
                <w:sz w:val="18"/>
              </w:rPr>
              <w:t>BSA</w:t>
            </w:r>
          </w:p>
        </w:tc>
        <w:tc>
          <w:tcPr>
            <w:tcW w:type="dxa" w:w="1440"/>
            <w:vAlign w:val="center"/>
          </w:tcPr>
          <w:p>
            <w:r/>
            <w:r>
              <w:rPr>
                <w:b w:val="0"/>
                <w:sz w:val="18"/>
              </w:rPr>
              <w:t>Medium</w:t>
            </w:r>
          </w:p>
        </w:tc>
        <w:tc>
          <w:tcPr>
            <w:tcW w:type="dxa" w:w="1296"/>
            <w:vAlign w:val="center"/>
          </w:tcPr>
          <w:p>
            <w:r/>
            <w:r>
              <w:rPr>
                <w:b w:val="0"/>
                <w:sz w:val="18"/>
              </w:rPr>
              <w:t>60 min</w:t>
            </w:r>
          </w:p>
        </w:tc>
        <w:tc>
          <w:tcPr>
            <w:tcW w:type="dxa" w:w="1296"/>
            <w:vAlign w:val="center"/>
          </w:tcPr>
          <w:p>
            <w:r/>
            <w:r>
              <w:rPr>
                <w:b w:val="0"/>
                <w:sz w:val="18"/>
              </w:rPr>
              <w:t>400 RPM</w:t>
            </w:r>
          </w:p>
        </w:tc>
        <w:tc>
          <w:tcPr>
            <w:tcW w:type="dxa" w:w="1584"/>
            <w:vAlign w:val="center"/>
          </w:tcPr>
          <w:p>
            <w:r/>
            <w:r>
              <w:rPr>
                <w:b w:val="0"/>
                <w:sz w:val="18"/>
              </w:rPr>
              <w:t>Mild turbidity</w:t>
            </w:r>
          </w:p>
        </w:tc>
        <w:tc>
          <w:tcPr>
            <w:tcW w:type="dxa" w:w="1584"/>
            <w:vAlign w:val="center"/>
          </w:tcPr>
          <w:p>
            <w:r/>
            <w:r>
              <w:rPr>
                <w:b w:val="0"/>
                <w:sz w:val="18"/>
              </w:rPr>
              <w:t>Good comparison sample</w:t>
            </w:r>
          </w:p>
        </w:tc>
      </w:tr>
      <w:tr>
        <w:tc>
          <w:tcPr>
            <w:tcW w:type="dxa" w:w="1152"/>
            <w:vAlign w:val="center"/>
          </w:tcPr>
          <w:p>
            <w:r/>
            <w:r>
              <w:rPr>
                <w:b w:val="0"/>
                <w:sz w:val="18"/>
              </w:rPr>
              <w:t>COR-03</w:t>
            </w:r>
          </w:p>
        </w:tc>
        <w:tc>
          <w:tcPr>
            <w:tcW w:type="dxa" w:w="1224"/>
            <w:vAlign w:val="center"/>
          </w:tcPr>
          <w:p>
            <w:r/>
            <w:r>
              <w:rPr>
                <w:b w:val="0"/>
                <w:sz w:val="18"/>
              </w:rPr>
              <w:t>Medium</w:t>
            </w:r>
          </w:p>
        </w:tc>
        <w:tc>
          <w:tcPr>
            <w:tcW w:type="dxa" w:w="1440"/>
            <w:vAlign w:val="center"/>
          </w:tcPr>
          <w:p>
            <w:r/>
            <w:r>
              <w:rPr>
                <w:b w:val="0"/>
                <w:sz w:val="18"/>
              </w:rPr>
              <w:t>Serum mix</w:t>
            </w:r>
          </w:p>
        </w:tc>
        <w:tc>
          <w:tcPr>
            <w:tcW w:type="dxa" w:w="1440"/>
            <w:vAlign w:val="center"/>
          </w:tcPr>
          <w:p>
            <w:r/>
            <w:r>
              <w:rPr>
                <w:b w:val="0"/>
                <w:sz w:val="18"/>
              </w:rPr>
              <w:t>Medium</w:t>
            </w:r>
          </w:p>
        </w:tc>
        <w:tc>
          <w:tcPr>
            <w:tcW w:type="dxa" w:w="1296"/>
            <w:vAlign w:val="center"/>
          </w:tcPr>
          <w:p>
            <w:r/>
            <w:r>
              <w:rPr>
                <w:b w:val="0"/>
                <w:sz w:val="18"/>
              </w:rPr>
              <w:t>60 min</w:t>
            </w:r>
          </w:p>
        </w:tc>
        <w:tc>
          <w:tcPr>
            <w:tcW w:type="dxa" w:w="1296"/>
            <w:vAlign w:val="center"/>
          </w:tcPr>
          <w:p>
            <w:r/>
            <w:r>
              <w:rPr>
                <w:b w:val="0"/>
                <w:sz w:val="18"/>
              </w:rPr>
              <w:t>400 RPM</w:t>
            </w:r>
          </w:p>
        </w:tc>
        <w:tc>
          <w:tcPr>
            <w:tcW w:type="dxa" w:w="1584"/>
            <w:vAlign w:val="center"/>
          </w:tcPr>
          <w:p>
            <w:r/>
            <w:r>
              <w:rPr>
                <w:b w:val="0"/>
                <w:sz w:val="18"/>
              </w:rPr>
              <w:t>More turbid</w:t>
            </w:r>
          </w:p>
        </w:tc>
        <w:tc>
          <w:tcPr>
            <w:tcW w:type="dxa" w:w="1584"/>
            <w:vAlign w:val="center"/>
          </w:tcPr>
          <w:p>
            <w:r/>
            <w:r>
              <w:rPr>
                <w:b w:val="0"/>
                <w:sz w:val="18"/>
              </w:rPr>
              <w:t>Complex protein corona model</w:t>
            </w:r>
          </w:p>
        </w:tc>
      </w:tr>
      <w:tr>
        <w:tc>
          <w:tcPr>
            <w:tcW w:type="dxa" w:w="1152"/>
            <w:vAlign w:val="center"/>
          </w:tcPr>
          <w:p>
            <w:r/>
            <w:r>
              <w:rPr>
                <w:b w:val="0"/>
                <w:sz w:val="18"/>
              </w:rPr>
              <w:t>COR-04</w:t>
            </w:r>
          </w:p>
        </w:tc>
        <w:tc>
          <w:tcPr>
            <w:tcW w:type="dxa" w:w="1224"/>
            <w:vAlign w:val="center"/>
          </w:tcPr>
          <w:p>
            <w:r/>
            <w:r>
              <w:rPr>
                <w:b w:val="0"/>
                <w:sz w:val="18"/>
              </w:rPr>
              <w:t>High</w:t>
            </w:r>
          </w:p>
        </w:tc>
        <w:tc>
          <w:tcPr>
            <w:tcW w:type="dxa" w:w="1440"/>
            <w:vAlign w:val="center"/>
          </w:tcPr>
          <w:p>
            <w:r/>
            <w:r>
              <w:rPr>
                <w:b w:val="0"/>
                <w:sz w:val="18"/>
              </w:rPr>
              <w:t>BSA</w:t>
            </w:r>
          </w:p>
        </w:tc>
        <w:tc>
          <w:tcPr>
            <w:tcW w:type="dxa" w:w="1440"/>
            <w:vAlign w:val="center"/>
          </w:tcPr>
          <w:p>
            <w:r/>
            <w:r>
              <w:rPr>
                <w:b w:val="0"/>
                <w:sz w:val="18"/>
              </w:rPr>
              <w:t>High</w:t>
            </w:r>
          </w:p>
        </w:tc>
        <w:tc>
          <w:tcPr>
            <w:tcW w:type="dxa" w:w="1296"/>
            <w:vAlign w:val="center"/>
          </w:tcPr>
          <w:p>
            <w:r/>
            <w:r>
              <w:rPr>
                <w:b w:val="0"/>
                <w:sz w:val="18"/>
              </w:rPr>
              <w:t>120 min</w:t>
            </w:r>
          </w:p>
        </w:tc>
        <w:tc>
          <w:tcPr>
            <w:tcW w:type="dxa" w:w="1296"/>
            <w:vAlign w:val="center"/>
          </w:tcPr>
          <w:p>
            <w:r/>
            <w:r>
              <w:rPr>
                <w:b w:val="0"/>
                <w:sz w:val="18"/>
              </w:rPr>
              <w:t>300 RPM</w:t>
            </w:r>
          </w:p>
        </w:tc>
        <w:tc>
          <w:tcPr>
            <w:tcW w:type="dxa" w:w="1584"/>
            <w:vAlign w:val="center"/>
          </w:tcPr>
          <w:p>
            <w:r/>
            <w:r>
              <w:rPr>
                <w:b w:val="0"/>
                <w:sz w:val="18"/>
              </w:rPr>
              <w:t>Sediment</w:t>
            </w:r>
          </w:p>
        </w:tc>
        <w:tc>
          <w:tcPr>
            <w:tcW w:type="dxa" w:w="1584"/>
            <w:vAlign w:val="center"/>
          </w:tcPr>
          <w:p>
            <w:r/>
            <w:r>
              <w:rPr>
                <w:b w:val="0"/>
                <w:sz w:val="18"/>
              </w:rPr>
              <w:t>Possible aggregation or overload</w:t>
            </w:r>
          </w:p>
        </w:tc>
      </w:tr>
    </w:tbl>
    <w:p>
      <w:pPr>
        <w:pStyle w:val="Heading1"/>
      </w:pPr>
      <w:r>
        <w:t>16. Webinar Explanation Strategy</w:t>
      </w:r>
    </w:p>
    <w:p>
      <w:r>
        <w:t>A simple webinar explanation can be framed as follows:</w:t>
      </w:r>
    </w:p>
    <w:p>
      <w:pPr>
        <w:ind w:left="360"/>
      </w:pPr>
      <w:r>
        <w:rPr>
          <w:i/>
        </w:rPr>
        <w:t>“When nanoparticles enter a biological medium, proteins can attach to their surface and create a new biological identity called a protein corona. In this protocol, Protoly defines the sequence of nanoparticle dispensing, protein addition, mixing, incubation, and documentation. NSL supports the physical preparation steps, while advanced confirmation such as DLS, zeta potential, protein assay, and SDS-PAGE is performed separately.”</w:t>
      </w:r>
    </w:p>
    <w:tbl>
      <w:tblPr>
        <w:tblStyle w:val="TableGrid"/>
        <w:tblW w:type="auto" w:w="0"/>
        <w:jc w:val="center"/>
        <w:tblLook w:firstColumn="1" w:firstRow="1" w:lastColumn="0" w:lastRow="0" w:noHBand="0" w:noVBand="1" w:val="04A0"/>
      </w:tblPr>
      <w:tblGrid>
        <w:gridCol w:w="5112"/>
        <w:gridCol w:w="5112"/>
      </w:tblGrid>
      <w:tr>
        <w:tc>
          <w:tcPr>
            <w:tcW w:type="dxa" w:w="3168"/>
            <w:vAlign w:val="center"/>
            <w:shd w:fill="D9EAF7"/>
          </w:tcPr>
          <w:p>
            <w:r/>
            <w:r>
              <w:rPr>
                <w:b/>
                <w:sz w:val="18"/>
              </w:rPr>
              <w:t>Slide topic</w:t>
            </w:r>
          </w:p>
        </w:tc>
        <w:tc>
          <w:tcPr>
            <w:tcW w:type="dxa" w:w="6480"/>
            <w:vAlign w:val="center"/>
            <w:shd w:fill="D9EAF7"/>
          </w:tcPr>
          <w:p>
            <w:r/>
            <w:r>
              <w:rPr>
                <w:b/>
                <w:sz w:val="18"/>
              </w:rPr>
              <w:t>Key message</w:t>
            </w:r>
          </w:p>
        </w:tc>
      </w:tr>
      <w:tr>
        <w:tc>
          <w:tcPr>
            <w:tcW w:type="dxa" w:w="3168"/>
            <w:vAlign w:val="center"/>
          </w:tcPr>
          <w:p>
            <w:r/>
            <w:r>
              <w:rPr>
                <w:b w:val="0"/>
                <w:sz w:val="18"/>
              </w:rPr>
              <w:t>What is protein corona?</w:t>
            </w:r>
          </w:p>
        </w:tc>
        <w:tc>
          <w:tcPr>
            <w:tcW w:type="dxa" w:w="6480"/>
            <w:vAlign w:val="center"/>
          </w:tcPr>
          <w:p>
            <w:r/>
            <w:r>
              <w:rPr>
                <w:b w:val="0"/>
                <w:sz w:val="18"/>
              </w:rPr>
              <w:t>Protein layer formed around nanoparticles in biological media</w:t>
            </w:r>
          </w:p>
        </w:tc>
      </w:tr>
      <w:tr>
        <w:tc>
          <w:tcPr>
            <w:tcW w:type="dxa" w:w="3168"/>
            <w:vAlign w:val="center"/>
          </w:tcPr>
          <w:p>
            <w:r/>
            <w:r>
              <w:rPr>
                <w:b w:val="0"/>
                <w:sz w:val="18"/>
              </w:rPr>
              <w:t>Why does it matter?</w:t>
            </w:r>
          </w:p>
        </w:tc>
        <w:tc>
          <w:tcPr>
            <w:tcW w:type="dxa" w:w="6480"/>
            <w:vAlign w:val="center"/>
          </w:tcPr>
          <w:p>
            <w:r/>
            <w:r>
              <w:rPr>
                <w:b w:val="0"/>
                <w:sz w:val="18"/>
              </w:rPr>
              <w:t>It can change nanoparticle stability, recognition, uptake, and safety</w:t>
            </w:r>
          </w:p>
        </w:tc>
      </w:tr>
      <w:tr>
        <w:tc>
          <w:tcPr>
            <w:tcW w:type="dxa" w:w="3168"/>
            <w:vAlign w:val="center"/>
          </w:tcPr>
          <w:p>
            <w:r/>
            <w:r>
              <w:rPr>
                <w:b w:val="0"/>
                <w:sz w:val="18"/>
              </w:rPr>
              <w:t>Manual challenge</w:t>
            </w:r>
          </w:p>
        </w:tc>
        <w:tc>
          <w:tcPr>
            <w:tcW w:type="dxa" w:w="6480"/>
            <w:vAlign w:val="center"/>
          </w:tcPr>
          <w:p>
            <w:r/>
            <w:r>
              <w:rPr>
                <w:b w:val="0"/>
                <w:sz w:val="18"/>
              </w:rPr>
              <w:t>Incubation and mixing differences cause variable results</w:t>
            </w:r>
          </w:p>
        </w:tc>
      </w:tr>
      <w:tr>
        <w:tc>
          <w:tcPr>
            <w:tcW w:type="dxa" w:w="3168"/>
            <w:vAlign w:val="center"/>
          </w:tcPr>
          <w:p>
            <w:r/>
            <w:r>
              <w:rPr>
                <w:b w:val="0"/>
                <w:sz w:val="18"/>
              </w:rPr>
              <w:t>Protoly role</w:t>
            </w:r>
          </w:p>
        </w:tc>
        <w:tc>
          <w:tcPr>
            <w:tcW w:type="dxa" w:w="6480"/>
            <w:vAlign w:val="center"/>
          </w:tcPr>
          <w:p>
            <w:r/>
            <w:r>
              <w:rPr>
                <w:b w:val="0"/>
                <w:sz w:val="18"/>
              </w:rPr>
              <w:t>Defines the method and records conditions</w:t>
            </w:r>
          </w:p>
        </w:tc>
      </w:tr>
      <w:tr>
        <w:tc>
          <w:tcPr>
            <w:tcW w:type="dxa" w:w="3168"/>
            <w:vAlign w:val="center"/>
          </w:tcPr>
          <w:p>
            <w:r/>
            <w:r>
              <w:rPr>
                <w:b w:val="0"/>
                <w:sz w:val="18"/>
              </w:rPr>
              <w:t>NSL role</w:t>
            </w:r>
          </w:p>
        </w:tc>
        <w:tc>
          <w:tcPr>
            <w:tcW w:type="dxa" w:w="6480"/>
            <w:vAlign w:val="center"/>
          </w:tcPr>
          <w:p>
            <w:r/>
            <w:r>
              <w:rPr>
                <w:b w:val="0"/>
                <w:sz w:val="18"/>
              </w:rPr>
              <w:t>Dispensing, stirring, waiting, temperature support, camera documentation</w:t>
            </w:r>
          </w:p>
        </w:tc>
      </w:tr>
      <w:tr>
        <w:tc>
          <w:tcPr>
            <w:tcW w:type="dxa" w:w="3168"/>
            <w:vAlign w:val="center"/>
          </w:tcPr>
          <w:p>
            <w:r/>
            <w:r>
              <w:rPr>
                <w:b w:val="0"/>
                <w:sz w:val="18"/>
              </w:rPr>
              <w:t>External analysis</w:t>
            </w:r>
          </w:p>
        </w:tc>
        <w:tc>
          <w:tcPr>
            <w:tcW w:type="dxa" w:w="6480"/>
            <w:vAlign w:val="center"/>
          </w:tcPr>
          <w:p>
            <w:r/>
            <w:r>
              <w:rPr>
                <w:b w:val="0"/>
                <w:sz w:val="18"/>
              </w:rPr>
              <w:t>Confirms protein association and nanoparticle changes</w:t>
            </w:r>
          </w:p>
        </w:tc>
      </w:tr>
    </w:tbl>
    <w:p>
      <w:pPr>
        <w:pStyle w:val="Heading1"/>
      </w:pPr>
      <w:r>
        <w:t>17. Fit Within the Protoly Protocol Library</w:t>
      </w:r>
    </w:p>
    <w:p>
      <w:r>
        <w:t>This protocol is a bridge between nanomaterial preparation and biological interaction studies. Earlier protocols may prepare silver nanoparticles, chitosan nanoparticles, zinc oxide nanoparticles, hydrogels, or liposomes. The protein corona protocol asks what happens when a nanomaterial meets proteins in a biological-like environment.</w:t>
      </w:r>
    </w:p>
    <w:tbl>
      <w:tblPr>
        <w:tblStyle w:val="TableGrid"/>
        <w:tblW w:type="auto" w:w="0"/>
        <w:jc w:val="center"/>
        <w:tblLook w:firstColumn="1" w:firstRow="1" w:lastColumn="0" w:lastRow="0" w:noHBand="0" w:noVBand="1" w:val="04A0"/>
      </w:tblPr>
      <w:tblGrid>
        <w:gridCol w:w="5112"/>
        <w:gridCol w:w="5112"/>
      </w:tblGrid>
      <w:tr>
        <w:tc>
          <w:tcPr>
            <w:tcW w:type="dxa" w:w="3456"/>
            <w:vAlign w:val="center"/>
            <w:shd w:fill="D9EAF7"/>
          </w:tcPr>
          <w:p>
            <w:r/>
            <w:r>
              <w:rPr>
                <w:b/>
                <w:sz w:val="18"/>
              </w:rPr>
              <w:t>Protoly area</w:t>
            </w:r>
          </w:p>
        </w:tc>
        <w:tc>
          <w:tcPr>
            <w:tcW w:type="dxa" w:w="6192"/>
            <w:vAlign w:val="center"/>
            <w:shd w:fill="D9EAF7"/>
          </w:tcPr>
          <w:p>
            <w:r/>
            <w:r>
              <w:rPr>
                <w:b/>
                <w:sz w:val="18"/>
              </w:rPr>
              <w:t>Connection with this protocol</w:t>
            </w:r>
          </w:p>
        </w:tc>
      </w:tr>
      <w:tr>
        <w:tc>
          <w:tcPr>
            <w:tcW w:type="dxa" w:w="3456"/>
            <w:vAlign w:val="center"/>
          </w:tcPr>
          <w:p>
            <w:r/>
            <w:r>
              <w:rPr>
                <w:b w:val="0"/>
                <w:sz w:val="18"/>
              </w:rPr>
              <w:t>AgNP synthesis</w:t>
            </w:r>
          </w:p>
        </w:tc>
        <w:tc>
          <w:tcPr>
            <w:tcW w:type="dxa" w:w="6192"/>
            <w:vAlign w:val="center"/>
          </w:tcPr>
          <w:p>
            <w:r/>
            <w:r>
              <w:rPr>
                <w:b w:val="0"/>
                <w:sz w:val="18"/>
              </w:rPr>
              <w:t>Provides nanoparticle input for corona study</w:t>
            </w:r>
          </w:p>
        </w:tc>
      </w:tr>
      <w:tr>
        <w:tc>
          <w:tcPr>
            <w:tcW w:type="dxa" w:w="3456"/>
            <w:vAlign w:val="center"/>
          </w:tcPr>
          <w:p>
            <w:r/>
            <w:r>
              <w:rPr>
                <w:b w:val="0"/>
                <w:sz w:val="18"/>
              </w:rPr>
              <w:t>Drug delivery models</w:t>
            </w:r>
          </w:p>
        </w:tc>
        <w:tc>
          <w:tcPr>
            <w:tcW w:type="dxa" w:w="6192"/>
            <w:vAlign w:val="center"/>
          </w:tcPr>
          <w:p>
            <w:r/>
            <w:r>
              <w:rPr>
                <w:b w:val="0"/>
                <w:sz w:val="18"/>
              </w:rPr>
              <w:t>Corona can affect delivery behaviour and biological identity</w:t>
            </w:r>
          </w:p>
        </w:tc>
      </w:tr>
      <w:tr>
        <w:tc>
          <w:tcPr>
            <w:tcW w:type="dxa" w:w="3456"/>
            <w:vAlign w:val="center"/>
          </w:tcPr>
          <w:p>
            <w:r/>
            <w:r>
              <w:rPr>
                <w:b w:val="0"/>
                <w:sz w:val="18"/>
              </w:rPr>
              <w:t>Cancer nanotechnology models</w:t>
            </w:r>
          </w:p>
        </w:tc>
        <w:tc>
          <w:tcPr>
            <w:tcW w:type="dxa" w:w="6192"/>
            <w:vAlign w:val="center"/>
          </w:tcPr>
          <w:p>
            <w:r/>
            <w:r>
              <w:rPr>
                <w:b w:val="0"/>
                <w:sz w:val="18"/>
              </w:rPr>
              <w:t>Protein corona can influence targeting and uptake</w:t>
            </w:r>
          </w:p>
        </w:tc>
      </w:tr>
      <w:tr>
        <w:tc>
          <w:tcPr>
            <w:tcW w:type="dxa" w:w="3456"/>
            <w:vAlign w:val="center"/>
          </w:tcPr>
          <w:p>
            <w:r/>
            <w:r>
              <w:rPr>
                <w:b w:val="0"/>
                <w:sz w:val="18"/>
              </w:rPr>
              <w:t>Antibody conjugation protocols</w:t>
            </w:r>
          </w:p>
        </w:tc>
        <w:tc>
          <w:tcPr>
            <w:tcW w:type="dxa" w:w="6192"/>
            <w:vAlign w:val="center"/>
          </w:tcPr>
          <w:p>
            <w:r/>
            <w:r>
              <w:rPr>
                <w:b w:val="0"/>
                <w:sz w:val="18"/>
              </w:rPr>
              <w:t>Corona behaviour can affect surface functionalization</w:t>
            </w:r>
          </w:p>
        </w:tc>
      </w:tr>
      <w:tr>
        <w:tc>
          <w:tcPr>
            <w:tcW w:type="dxa" w:w="3456"/>
            <w:vAlign w:val="center"/>
          </w:tcPr>
          <w:p>
            <w:r/>
            <w:r>
              <w:rPr>
                <w:b w:val="0"/>
                <w:sz w:val="18"/>
              </w:rPr>
              <w:t>Biosafety and nano-biointerface studies</w:t>
            </w:r>
          </w:p>
        </w:tc>
        <w:tc>
          <w:tcPr>
            <w:tcW w:type="dxa" w:w="6192"/>
            <w:vAlign w:val="center"/>
          </w:tcPr>
          <w:p>
            <w:r/>
            <w:r>
              <w:rPr>
                <w:b w:val="0"/>
                <w:sz w:val="18"/>
              </w:rPr>
              <w:t>Corona is central to biological response interpretation</w:t>
            </w:r>
          </w:p>
        </w:tc>
      </w:tr>
    </w:tbl>
    <w:p>
      <w:pPr>
        <w:pStyle w:val="Heading1"/>
      </w:pPr>
      <w:r>
        <w:t>18. Limitations</w:t>
      </w:r>
    </w:p>
    <w:p>
      <w:pPr>
        <w:pStyle w:val="ListBullet"/>
      </w:pPr>
      <w:r>
        <w:t>The workflow does not identify the exact corona protein composition by itself.</w:t>
      </w:r>
    </w:p>
    <w:p>
      <w:pPr>
        <w:pStyle w:val="ListBullet"/>
      </w:pPr>
      <w:r>
        <w:t>Camera documentation does not replace UV-Vis, DLS, zeta potential, or protein quantification.</w:t>
      </w:r>
    </w:p>
    <w:p>
      <w:pPr>
        <w:pStyle w:val="ListBullet"/>
      </w:pPr>
      <w:r>
        <w:t>The protocol does not prove biological uptake, toxicity, immune interaction, or therapeutic performance.</w:t>
      </w:r>
    </w:p>
    <w:p>
      <w:pPr>
        <w:pStyle w:val="ListBullet"/>
      </w:pPr>
      <w:r>
        <w:t>Centrifugation and washing are external processes and must be carefully standardized.</w:t>
      </w:r>
    </w:p>
    <w:p>
      <w:pPr>
        <w:pStyle w:val="ListBullet"/>
      </w:pPr>
      <w:r>
        <w:t>Protein adsorption can be reversible, dynamic, and strongly dependent on medium composition.</w:t>
      </w:r>
    </w:p>
    <w:p>
      <w:pPr>
        <w:pStyle w:val="ListBullet"/>
      </w:pPr>
      <w:r>
        <w:t>Results from a model protein system may not represent full serum or in vivo biological conditions.</w:t>
      </w:r>
    </w:p>
    <w:p>
      <w:pPr>
        <w:pStyle w:val="ListBullet"/>
      </w:pPr>
      <w:r>
        <w:t>The protocol is a research and demonstration workflow, not a validated biomedical testing method.</w:t>
      </w:r>
    </w:p>
    <w:p>
      <w:pPr>
        <w:pStyle w:val="Heading1"/>
      </w:pPr>
      <w:r>
        <w:t>19. Safety and Handling Considerations</w:t>
      </w:r>
    </w:p>
    <w:tbl>
      <w:tblPr>
        <w:tblStyle w:val="TableGrid"/>
        <w:tblW w:type="auto" w:w="0"/>
        <w:jc w:val="center"/>
        <w:tblLook w:firstColumn="1" w:firstRow="1" w:lastColumn="0" w:lastRow="0" w:noHBand="0" w:noVBand="1" w:val="04A0"/>
      </w:tblPr>
      <w:tblGrid>
        <w:gridCol w:w="5112"/>
        <w:gridCol w:w="5112"/>
      </w:tblGrid>
      <w:tr>
        <w:tc>
          <w:tcPr>
            <w:tcW w:type="dxa" w:w="3456"/>
            <w:vAlign w:val="center"/>
            <w:shd w:fill="D9EAF7"/>
          </w:tcPr>
          <w:p>
            <w:r/>
            <w:r>
              <w:rPr>
                <w:b/>
                <w:sz w:val="18"/>
              </w:rPr>
              <w:t>Safety point</w:t>
            </w:r>
          </w:p>
        </w:tc>
        <w:tc>
          <w:tcPr>
            <w:tcW w:type="dxa" w:w="6192"/>
            <w:vAlign w:val="center"/>
            <w:shd w:fill="D9EAF7"/>
          </w:tcPr>
          <w:p>
            <w:r/>
            <w:r>
              <w:rPr>
                <w:b/>
                <w:sz w:val="18"/>
              </w:rPr>
              <w:t>Explanation</w:t>
            </w:r>
          </w:p>
        </w:tc>
      </w:tr>
      <w:tr>
        <w:tc>
          <w:tcPr>
            <w:tcW w:type="dxa" w:w="3456"/>
            <w:vAlign w:val="center"/>
          </w:tcPr>
          <w:p>
            <w:r/>
            <w:r>
              <w:rPr>
                <w:b w:val="0"/>
                <w:sz w:val="18"/>
              </w:rPr>
              <w:t>Use PPE</w:t>
            </w:r>
          </w:p>
        </w:tc>
        <w:tc>
          <w:tcPr>
            <w:tcW w:type="dxa" w:w="6192"/>
            <w:vAlign w:val="center"/>
          </w:tcPr>
          <w:p>
            <w:r/>
            <w:r>
              <w:rPr>
                <w:b w:val="0"/>
                <w:sz w:val="18"/>
              </w:rPr>
              <w:t>Wear gloves, lab coat, and eye protection</w:t>
            </w:r>
          </w:p>
        </w:tc>
      </w:tr>
      <w:tr>
        <w:tc>
          <w:tcPr>
            <w:tcW w:type="dxa" w:w="3456"/>
            <w:vAlign w:val="center"/>
          </w:tcPr>
          <w:p>
            <w:r/>
            <w:r>
              <w:rPr>
                <w:b w:val="0"/>
                <w:sz w:val="18"/>
              </w:rPr>
              <w:t>Handle AgNP dispersions carefully</w:t>
            </w:r>
          </w:p>
        </w:tc>
        <w:tc>
          <w:tcPr>
            <w:tcW w:type="dxa" w:w="6192"/>
            <w:vAlign w:val="center"/>
          </w:tcPr>
          <w:p>
            <w:r/>
            <w:r>
              <w:rPr>
                <w:b w:val="0"/>
                <w:sz w:val="18"/>
              </w:rPr>
              <w:t>Avoid ingestion, inhalation, and skin exposure</w:t>
            </w:r>
          </w:p>
        </w:tc>
      </w:tr>
      <w:tr>
        <w:tc>
          <w:tcPr>
            <w:tcW w:type="dxa" w:w="3456"/>
            <w:vAlign w:val="center"/>
          </w:tcPr>
          <w:p>
            <w:r/>
            <w:r>
              <w:rPr>
                <w:b w:val="0"/>
                <w:sz w:val="18"/>
              </w:rPr>
              <w:t>Use safe model proteins</w:t>
            </w:r>
          </w:p>
        </w:tc>
        <w:tc>
          <w:tcPr>
            <w:tcW w:type="dxa" w:w="6192"/>
            <w:vAlign w:val="center"/>
          </w:tcPr>
          <w:p>
            <w:r/>
            <w:r>
              <w:rPr>
                <w:b w:val="0"/>
                <w:sz w:val="18"/>
              </w:rPr>
              <w:t>Prefer non-hazardous protein systems for teaching and webinar use</w:t>
            </w:r>
          </w:p>
        </w:tc>
      </w:tr>
      <w:tr>
        <w:tc>
          <w:tcPr>
            <w:tcW w:type="dxa" w:w="3456"/>
            <w:vAlign w:val="center"/>
          </w:tcPr>
          <w:p>
            <w:r/>
            <w:r>
              <w:rPr>
                <w:b w:val="0"/>
                <w:sz w:val="18"/>
              </w:rPr>
              <w:t>Avoid biological claims</w:t>
            </w:r>
          </w:p>
        </w:tc>
        <w:tc>
          <w:tcPr>
            <w:tcW w:type="dxa" w:w="6192"/>
            <w:vAlign w:val="center"/>
          </w:tcPr>
          <w:p>
            <w:r/>
            <w:r>
              <w:rPr>
                <w:b w:val="0"/>
                <w:sz w:val="18"/>
              </w:rPr>
              <w:t>Do not claim therapeutic or diagnostic performance from this preparation alone</w:t>
            </w:r>
          </w:p>
        </w:tc>
      </w:tr>
      <w:tr>
        <w:tc>
          <w:tcPr>
            <w:tcW w:type="dxa" w:w="3456"/>
            <w:vAlign w:val="center"/>
          </w:tcPr>
          <w:p>
            <w:r/>
            <w:r>
              <w:rPr>
                <w:b w:val="0"/>
                <w:sz w:val="18"/>
              </w:rPr>
              <w:t>Label all samples</w:t>
            </w:r>
          </w:p>
        </w:tc>
        <w:tc>
          <w:tcPr>
            <w:tcW w:type="dxa" w:w="6192"/>
            <w:vAlign w:val="center"/>
          </w:tcPr>
          <w:p>
            <w:r/>
            <w:r>
              <w:rPr>
                <w:b w:val="0"/>
                <w:sz w:val="18"/>
              </w:rPr>
              <w:t>Prevent confusion between AgNP-only and protein-treated samples</w:t>
            </w:r>
          </w:p>
        </w:tc>
      </w:tr>
      <w:tr>
        <w:tc>
          <w:tcPr>
            <w:tcW w:type="dxa" w:w="3456"/>
            <w:vAlign w:val="center"/>
          </w:tcPr>
          <w:p>
            <w:r/>
            <w:r>
              <w:rPr>
                <w:b w:val="0"/>
                <w:sz w:val="18"/>
              </w:rPr>
              <w:t>Dispose waste properly</w:t>
            </w:r>
          </w:p>
        </w:tc>
        <w:tc>
          <w:tcPr>
            <w:tcW w:type="dxa" w:w="6192"/>
            <w:vAlign w:val="center"/>
          </w:tcPr>
          <w:p>
            <w:r/>
            <w:r>
              <w:rPr>
                <w:b w:val="0"/>
                <w:sz w:val="18"/>
              </w:rPr>
              <w:t>Nanoparticle-protein waste should follow laboratory waste guidance</w:t>
            </w:r>
          </w:p>
        </w:tc>
      </w:tr>
    </w:tbl>
    <w:p>
      <w:pPr>
        <w:pStyle w:val="Heading1"/>
      </w:pPr>
      <w:r>
        <w:t>20. Future Development Possibilities</w:t>
      </w:r>
    </w:p>
    <w:tbl>
      <w:tblPr>
        <w:tblStyle w:val="TableGrid"/>
        <w:tblW w:type="auto" w:w="0"/>
        <w:jc w:val="center"/>
        <w:tblLook w:firstColumn="1" w:firstRow="1" w:lastColumn="0" w:lastRow="0" w:noHBand="0" w:noVBand="1" w:val="04A0"/>
      </w:tblPr>
      <w:tblGrid>
        <w:gridCol w:w="5112"/>
        <w:gridCol w:w="5112"/>
      </w:tblGrid>
      <w:tr>
        <w:tc>
          <w:tcPr>
            <w:tcW w:type="dxa" w:w="4032"/>
            <w:vAlign w:val="center"/>
            <w:shd w:fill="D9EAF7"/>
          </w:tcPr>
          <w:p>
            <w:r/>
            <w:r>
              <w:rPr>
                <w:b/>
                <w:sz w:val="18"/>
              </w:rPr>
              <w:t>Future protocol direction</w:t>
            </w:r>
          </w:p>
        </w:tc>
        <w:tc>
          <w:tcPr>
            <w:tcW w:type="dxa" w:w="5616"/>
            <w:vAlign w:val="center"/>
            <w:shd w:fill="D9EAF7"/>
          </w:tcPr>
          <w:p>
            <w:r/>
            <w:r>
              <w:rPr>
                <w:b/>
                <w:sz w:val="18"/>
              </w:rPr>
              <w:t>Purpose</w:t>
            </w:r>
          </w:p>
        </w:tc>
      </w:tr>
      <w:tr>
        <w:tc>
          <w:tcPr>
            <w:tcW w:type="dxa" w:w="4032"/>
            <w:vAlign w:val="center"/>
          </w:tcPr>
          <w:p>
            <w:r/>
            <w:r>
              <w:rPr>
                <w:b w:val="0"/>
                <w:sz w:val="18"/>
              </w:rPr>
              <w:t>Time-dependent protein corona formation</w:t>
            </w:r>
          </w:p>
        </w:tc>
        <w:tc>
          <w:tcPr>
            <w:tcW w:type="dxa" w:w="5616"/>
            <w:vAlign w:val="center"/>
          </w:tcPr>
          <w:p>
            <w:r/>
            <w:r>
              <w:rPr>
                <w:b w:val="0"/>
                <w:sz w:val="18"/>
              </w:rPr>
              <w:t>Compare corona development over different incubation times</w:t>
            </w:r>
          </w:p>
        </w:tc>
      </w:tr>
      <w:tr>
        <w:tc>
          <w:tcPr>
            <w:tcW w:type="dxa" w:w="4032"/>
            <w:vAlign w:val="center"/>
          </w:tcPr>
          <w:p>
            <w:r/>
            <w:r>
              <w:rPr>
                <w:b w:val="0"/>
                <w:sz w:val="18"/>
              </w:rPr>
              <w:t>Protein concentration screening</w:t>
            </w:r>
          </w:p>
        </w:tc>
        <w:tc>
          <w:tcPr>
            <w:tcW w:type="dxa" w:w="5616"/>
            <w:vAlign w:val="center"/>
          </w:tcPr>
          <w:p>
            <w:r/>
            <w:r>
              <w:rPr>
                <w:b w:val="0"/>
                <w:sz w:val="18"/>
              </w:rPr>
              <w:t>Study surface saturation and stability changes</w:t>
            </w:r>
          </w:p>
        </w:tc>
      </w:tr>
      <w:tr>
        <w:tc>
          <w:tcPr>
            <w:tcW w:type="dxa" w:w="4032"/>
            <w:vAlign w:val="center"/>
          </w:tcPr>
          <w:p>
            <w:r/>
            <w:r>
              <w:rPr>
                <w:b w:val="0"/>
                <w:sz w:val="18"/>
              </w:rPr>
              <w:t>Serum corona model</w:t>
            </w:r>
          </w:p>
        </w:tc>
        <w:tc>
          <w:tcPr>
            <w:tcW w:type="dxa" w:w="5616"/>
            <w:vAlign w:val="center"/>
          </w:tcPr>
          <w:p>
            <w:r/>
            <w:r>
              <w:rPr>
                <w:b w:val="0"/>
                <w:sz w:val="18"/>
              </w:rPr>
              <w:t>Move from single-protein to complex biological medium</w:t>
            </w:r>
          </w:p>
        </w:tc>
      </w:tr>
      <w:tr>
        <w:tc>
          <w:tcPr>
            <w:tcW w:type="dxa" w:w="4032"/>
            <w:vAlign w:val="center"/>
          </w:tcPr>
          <w:p>
            <w:r/>
            <w:r>
              <w:rPr>
                <w:b w:val="0"/>
                <w:sz w:val="18"/>
              </w:rPr>
              <w:t>Corona stability after washing</w:t>
            </w:r>
          </w:p>
        </w:tc>
        <w:tc>
          <w:tcPr>
            <w:tcW w:type="dxa" w:w="5616"/>
            <w:vAlign w:val="center"/>
          </w:tcPr>
          <w:p>
            <w:r/>
            <w:r>
              <w:rPr>
                <w:b w:val="0"/>
                <w:sz w:val="18"/>
              </w:rPr>
              <w:t>Differentiate loosely and strongly associated proteins</w:t>
            </w:r>
          </w:p>
        </w:tc>
      </w:tr>
      <w:tr>
        <w:tc>
          <w:tcPr>
            <w:tcW w:type="dxa" w:w="4032"/>
            <w:vAlign w:val="center"/>
          </w:tcPr>
          <w:p>
            <w:r/>
            <w:r>
              <w:rPr>
                <w:b w:val="0"/>
                <w:sz w:val="18"/>
              </w:rPr>
              <w:t>Corona effect on cell uptake model</w:t>
            </w:r>
          </w:p>
        </w:tc>
        <w:tc>
          <w:tcPr>
            <w:tcW w:type="dxa" w:w="5616"/>
            <w:vAlign w:val="center"/>
          </w:tcPr>
          <w:p>
            <w:r/>
            <w:r>
              <w:rPr>
                <w:b w:val="0"/>
                <w:sz w:val="18"/>
              </w:rPr>
              <w:t>Connect corona preparation with biological interaction study</w:t>
            </w:r>
          </w:p>
        </w:tc>
      </w:tr>
      <w:tr>
        <w:tc>
          <w:tcPr>
            <w:tcW w:type="dxa" w:w="4032"/>
            <w:vAlign w:val="center"/>
          </w:tcPr>
          <w:p>
            <w:r/>
            <w:r>
              <w:rPr>
                <w:b w:val="0"/>
                <w:sz w:val="18"/>
              </w:rPr>
              <w:t>Corona effect on antibody conjugation</w:t>
            </w:r>
          </w:p>
        </w:tc>
        <w:tc>
          <w:tcPr>
            <w:tcW w:type="dxa" w:w="5616"/>
            <w:vAlign w:val="center"/>
          </w:tcPr>
          <w:p>
            <w:r/>
            <w:r>
              <w:rPr>
                <w:b w:val="0"/>
                <w:sz w:val="18"/>
              </w:rPr>
              <w:t>Study whether protein coating blocks functional surface binding</w:t>
            </w:r>
          </w:p>
        </w:tc>
      </w:tr>
      <w:tr>
        <w:tc>
          <w:tcPr>
            <w:tcW w:type="dxa" w:w="4032"/>
            <w:vAlign w:val="center"/>
          </w:tcPr>
          <w:p>
            <w:r/>
            <w:r>
              <w:rPr>
                <w:b w:val="0"/>
                <w:sz w:val="18"/>
              </w:rPr>
              <w:t>Comparative corona on AgNP, ZnO, and iron oxide</w:t>
            </w:r>
          </w:p>
        </w:tc>
        <w:tc>
          <w:tcPr>
            <w:tcW w:type="dxa" w:w="5616"/>
            <w:vAlign w:val="center"/>
          </w:tcPr>
          <w:p>
            <w:r/>
            <w:r>
              <w:rPr>
                <w:b w:val="0"/>
                <w:sz w:val="18"/>
              </w:rPr>
              <w:t>Compare nanomaterial-dependent protein adsorption</w:t>
            </w:r>
          </w:p>
        </w:tc>
      </w:tr>
    </w:tbl>
    <w:p>
      <w:pPr>
        <w:pStyle w:val="Heading1"/>
      </w:pPr>
      <w:r>
        <w:t>21. Suggested Supporting Information Summary</w:t>
      </w:r>
    </w:p>
    <w:p>
      <w:r>
        <w:t>This supporting information explains the scientific and project-level intent of the automated silver nanoparticle-protein corona protocol. The workflow is partially NSL-supported because the system can assist with controlled liquid dispensing, stirring, timed incubation, mild temperature support, sonication support, chamber illumination, camera documentation, exhaust operation, and environmental record keeping.</w:t>
      </w:r>
    </w:p>
    <w:p>
      <w:r>
        <w:t>The protocol is valuable because it introduces the nano-biointerface concept into the Protoly protocol library. It shows that nanoparticles may acquire a new biological identity after exposure to proteins, and that this interaction should be prepared and studied under controlled conditions. At the same time, the protocol clearly separates automated preparation from external confirmation methods such as DLS, zeta potential, protein assay, SDS-PAGE, UV-Vis spectroscopy, fluorescence, and microscopy.</w:t>
      </w:r>
    </w:p>
    <w:p>
      <w:r>
        <w:t>The prepared samples should be treated as research and educational models only. Further analytical and biological studies are required before making any conclusion about biological performance, safety, targeting, diagnostic use, or therapeutic relevance.</w:t>
      </w:r>
    </w:p>
    <w:sectPr w:rsidR="00FC693F" w:rsidRPr="0006063C" w:rsidSect="00034616">
      <w:footerReference w:type="default" r:id="rId9"/>
      <w:pgSz w:w="12240" w:h="15840"/>
      <w:pgMar w:top="936" w:right="1008" w:bottom="93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Protocol 9 Supporting Information | Protoly / NSL | Research and educational use only</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libri" w:hAnsi="Calibri"/>
      <w:b/>
      <w:bCs/>
      <w:color w:val="365F91" w:themeColor="accent1" w:themeShade="B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libri" w:hAnsi="Calibr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libri" w:hAnsi="Calibri"/>
      <w:b/>
      <w:bCs/>
      <w:color w:val="4F81BD" w:themeColor="accent1"/>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Calibri" w:hAnsi="Calibr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