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6"/>
        </w:rPr>
        <w:t>Protocol 10 Details</w:t>
      </w:r>
    </w:p>
    <w:p>
      <w:pPr>
        <w:jc w:val="center"/>
      </w:pPr>
      <w:r>
        <w:rPr>
          <w:i/>
          <w:sz w:val="24"/>
        </w:rPr>
        <w:t>Supporting Information Document</w:t>
      </w:r>
    </w:p>
    <w:p>
      <w:pPr>
        <w:jc w:val="center"/>
      </w:pPr>
      <w:r>
        <w:rPr>
          <w:b/>
          <w:sz w:val="24"/>
        </w:rPr>
        <w:t>Automated Surface Conditioning of Iron Oxide Nanoparticles for Theranostic Model Studies</w:t>
      </w:r>
    </w:p>
    <w:p/>
    <w:p>
      <w:pPr>
        <w:pStyle w:val="Heading1"/>
      </w:pPr>
      <w:r>
        <w:t>1. Support Status on Protoly / NSL</w:t>
      </w:r>
    </w:p>
    <w:p>
      <w:pPr>
        <w:spacing w:after="120" w:line="259" w:lineRule="auto"/>
      </w:pPr>
      <w:r>
        <w:rPr>
          <w:sz w:val="21"/>
        </w:rPr>
        <w:t>This protocol is partially NSL-supported. The NSL platform can assist with the physical handling and conditioning portion of the workflow, including reservoir-based dispensing, controlled stirring, mild heating, waiting, optional sonication, sonicator bath heating, chamber illumination, camera documentation, exhaust operation, UV sterilization, and ambient chamber environment recording.</w:t>
      </w:r>
    </w:p>
    <w:p>
      <w:pPr>
        <w:spacing w:after="120" w:line="259" w:lineRule="auto"/>
      </w:pPr>
      <w:r>
        <w:rPr>
          <w:sz w:val="21"/>
        </w:rPr>
        <w:t>The protocol should not be presented as a complete theranostic nanoparticle manufacturing or validation process. The NSL-supported workflow prepares or conditions a research-scale dispersion. Advanced confirmation of nanoparticle size, surface chemistry, magnetic behaviour, cytotoxicity, imaging suitability, sterility, and biological compatibility remains external.</w:t>
      </w:r>
    </w:p>
    <w:tbl>
      <w:tblPr>
        <w:tblStyle w:val="TableGrid"/>
        <w:tblW w:type="auto" w:w="0"/>
        <w:jc w:val="center"/>
        <w:tblLook w:firstColumn="1" w:firstRow="1" w:lastColumn="0" w:lastRow="0" w:noHBand="0" w:noVBand="1" w:val="04A0"/>
      </w:tblPr>
      <w:tblGrid>
        <w:gridCol w:w="5141"/>
        <w:gridCol w:w="5141"/>
      </w:tblGrid>
      <w:tr>
        <w:tc>
          <w:tcPr>
            <w:tcW w:type="dxa" w:w="3168"/>
            <w:vAlign w:val="center"/>
            <w:shd w:fill="D9EAF7"/>
          </w:tcPr>
          <w:p>
            <w:pPr>
              <w:spacing w:after="0"/>
              <w:jc w:val="left"/>
            </w:pPr>
            <w:r>
              <w:rPr>
                <w:b/>
                <w:sz w:val="17"/>
              </w:rPr>
              <w:t>NSL-supported part</w:t>
            </w:r>
          </w:p>
        </w:tc>
        <w:tc>
          <w:tcPr>
            <w:tcW w:type="dxa" w:w="6624"/>
            <w:vAlign w:val="center"/>
            <w:shd w:fill="D9EAF7"/>
          </w:tcPr>
          <w:p>
            <w:pPr>
              <w:spacing w:after="0"/>
              <w:jc w:val="left"/>
            </w:pPr>
            <w:r>
              <w:rPr>
                <w:b/>
                <w:sz w:val="17"/>
              </w:rPr>
              <w:t>Examples in this protocol</w:t>
            </w:r>
          </w:p>
        </w:tc>
      </w:tr>
      <w:tr>
        <w:tc>
          <w:tcPr>
            <w:tcW w:type="dxa" w:w="3168"/>
            <w:vAlign w:val="center"/>
          </w:tcPr>
          <w:p>
            <w:pPr>
              <w:spacing w:after="0"/>
              <w:jc w:val="left"/>
            </w:pPr>
            <w:r>
              <w:rPr>
                <w:b w:val="0"/>
                <w:sz w:val="17"/>
              </w:rPr>
              <w:t>Reservoir Dispense</w:t>
            </w:r>
          </w:p>
        </w:tc>
        <w:tc>
          <w:tcPr>
            <w:tcW w:type="dxa" w:w="6624"/>
            <w:vAlign w:val="center"/>
          </w:tcPr>
          <w:p>
            <w:pPr>
              <w:spacing w:after="0"/>
              <w:jc w:val="left"/>
            </w:pPr>
            <w:r>
              <w:rPr>
                <w:b w:val="0"/>
                <w:sz w:val="17"/>
              </w:rPr>
              <w:t>Addition of water, buffer, stabilizer, coating solution, and dilution medium</w:t>
            </w:r>
          </w:p>
        </w:tc>
      </w:tr>
      <w:tr>
        <w:tc>
          <w:tcPr>
            <w:tcW w:type="dxa" w:w="3168"/>
            <w:vAlign w:val="center"/>
          </w:tcPr>
          <w:p>
            <w:pPr>
              <w:spacing w:after="0"/>
              <w:jc w:val="left"/>
            </w:pPr>
            <w:r>
              <w:rPr>
                <w:b w:val="0"/>
                <w:sz w:val="17"/>
              </w:rPr>
              <w:t>Stirrer</w:t>
            </w:r>
          </w:p>
        </w:tc>
        <w:tc>
          <w:tcPr>
            <w:tcW w:type="dxa" w:w="6624"/>
            <w:vAlign w:val="center"/>
          </w:tcPr>
          <w:p>
            <w:pPr>
              <w:spacing w:after="0"/>
              <w:jc w:val="left"/>
            </w:pPr>
            <w:r>
              <w:rPr>
                <w:b w:val="0"/>
                <w:sz w:val="17"/>
              </w:rPr>
              <w:t>Maintaining dispersion during surface conditioning</w:t>
            </w:r>
          </w:p>
        </w:tc>
      </w:tr>
      <w:tr>
        <w:tc>
          <w:tcPr>
            <w:tcW w:type="dxa" w:w="3168"/>
            <w:vAlign w:val="center"/>
          </w:tcPr>
          <w:p>
            <w:pPr>
              <w:spacing w:after="0"/>
              <w:jc w:val="left"/>
            </w:pPr>
            <w:r>
              <w:rPr>
                <w:b w:val="0"/>
                <w:sz w:val="17"/>
              </w:rPr>
              <w:t>Heater</w:t>
            </w:r>
          </w:p>
        </w:tc>
        <w:tc>
          <w:tcPr>
            <w:tcW w:type="dxa" w:w="6624"/>
            <w:vAlign w:val="center"/>
          </w:tcPr>
          <w:p>
            <w:pPr>
              <w:spacing w:after="0"/>
              <w:jc w:val="left"/>
            </w:pPr>
            <w:r>
              <w:rPr>
                <w:b w:val="0"/>
                <w:sz w:val="17"/>
              </w:rPr>
              <w:t>Mild thermal support for coating or stabilizer interaction</w:t>
            </w:r>
          </w:p>
        </w:tc>
      </w:tr>
      <w:tr>
        <w:tc>
          <w:tcPr>
            <w:tcW w:type="dxa" w:w="3168"/>
            <w:vAlign w:val="center"/>
          </w:tcPr>
          <w:p>
            <w:pPr>
              <w:spacing w:after="0"/>
              <w:jc w:val="left"/>
            </w:pPr>
            <w:r>
              <w:rPr>
                <w:b w:val="0"/>
                <w:sz w:val="17"/>
              </w:rPr>
              <w:t>Wait</w:t>
            </w:r>
          </w:p>
        </w:tc>
        <w:tc>
          <w:tcPr>
            <w:tcW w:type="dxa" w:w="6624"/>
            <w:vAlign w:val="center"/>
          </w:tcPr>
          <w:p>
            <w:pPr>
              <w:spacing w:after="0"/>
              <w:jc w:val="left"/>
            </w:pPr>
            <w:r>
              <w:rPr>
                <w:b w:val="0"/>
                <w:sz w:val="17"/>
              </w:rPr>
              <w:t>Conditioning, adsorption, maturation, and stabilization periods</w:t>
            </w:r>
          </w:p>
        </w:tc>
      </w:tr>
      <w:tr>
        <w:tc>
          <w:tcPr>
            <w:tcW w:type="dxa" w:w="3168"/>
            <w:vAlign w:val="center"/>
          </w:tcPr>
          <w:p>
            <w:pPr>
              <w:spacing w:after="0"/>
              <w:jc w:val="left"/>
            </w:pPr>
            <w:r>
              <w:rPr>
                <w:b w:val="0"/>
                <w:sz w:val="17"/>
              </w:rPr>
              <w:t>Sonicator / Sonicator Bath Heater</w:t>
            </w:r>
          </w:p>
        </w:tc>
        <w:tc>
          <w:tcPr>
            <w:tcW w:type="dxa" w:w="6624"/>
            <w:vAlign w:val="center"/>
          </w:tcPr>
          <w:p>
            <w:pPr>
              <w:spacing w:after="0"/>
              <w:jc w:val="left"/>
            </w:pPr>
            <w:r>
              <w:rPr>
                <w:b w:val="0"/>
                <w:sz w:val="17"/>
              </w:rPr>
              <w:t>Optional de-aggregation and dispersion improvement</w:t>
            </w:r>
          </w:p>
        </w:tc>
      </w:tr>
      <w:tr>
        <w:tc>
          <w:tcPr>
            <w:tcW w:type="dxa" w:w="3168"/>
            <w:vAlign w:val="center"/>
          </w:tcPr>
          <w:p>
            <w:pPr>
              <w:spacing w:after="0"/>
              <w:jc w:val="left"/>
            </w:pPr>
            <w:r>
              <w:rPr>
                <w:b w:val="0"/>
                <w:sz w:val="17"/>
              </w:rPr>
              <w:t>LED/UV/IR Illumination and Camera</w:t>
            </w:r>
          </w:p>
        </w:tc>
        <w:tc>
          <w:tcPr>
            <w:tcW w:type="dxa" w:w="6624"/>
            <w:vAlign w:val="center"/>
          </w:tcPr>
          <w:p>
            <w:pPr>
              <w:spacing w:after="0"/>
              <w:jc w:val="left"/>
            </w:pPr>
            <w:r>
              <w:rPr>
                <w:b w:val="0"/>
                <w:sz w:val="17"/>
              </w:rPr>
              <w:t>Visual documentation of colour, settling, or aggregation</w:t>
            </w:r>
          </w:p>
        </w:tc>
      </w:tr>
      <w:tr>
        <w:tc>
          <w:tcPr>
            <w:tcW w:type="dxa" w:w="3168"/>
            <w:vAlign w:val="center"/>
          </w:tcPr>
          <w:p>
            <w:pPr>
              <w:spacing w:after="0"/>
              <w:jc w:val="left"/>
            </w:pPr>
            <w:r>
              <w:rPr>
                <w:b w:val="0"/>
                <w:sz w:val="17"/>
              </w:rPr>
              <w:t>Environment Sensors</w:t>
            </w:r>
          </w:p>
        </w:tc>
        <w:tc>
          <w:tcPr>
            <w:tcW w:type="dxa" w:w="6624"/>
            <w:vAlign w:val="center"/>
          </w:tcPr>
          <w:p>
            <w:pPr>
              <w:spacing w:after="0"/>
              <w:jc w:val="left"/>
            </w:pPr>
            <w:r>
              <w:rPr>
                <w:b w:val="0"/>
                <w:sz w:val="17"/>
              </w:rPr>
              <w:t>Ambient chamber condition record</w:t>
            </w:r>
          </w:p>
        </w:tc>
      </w:tr>
      <w:tr>
        <w:tc>
          <w:tcPr>
            <w:tcW w:type="dxa" w:w="3168"/>
            <w:vAlign w:val="center"/>
          </w:tcPr>
          <w:p>
            <w:pPr>
              <w:spacing w:after="0"/>
              <w:jc w:val="left"/>
            </w:pPr>
            <w:r>
              <w:rPr>
                <w:b w:val="0"/>
                <w:sz w:val="17"/>
              </w:rPr>
              <w:t>Exhaust and Sterilization UV</w:t>
            </w:r>
          </w:p>
        </w:tc>
        <w:tc>
          <w:tcPr>
            <w:tcW w:type="dxa" w:w="6624"/>
            <w:vAlign w:val="center"/>
          </w:tcPr>
          <w:p>
            <w:pPr>
              <w:spacing w:after="0"/>
              <w:jc w:val="left"/>
            </w:pPr>
            <w:r>
              <w:rPr>
                <w:b w:val="0"/>
                <w:sz w:val="17"/>
              </w:rPr>
              <w:t>Chamber preparation and airflow support where required</w:t>
            </w:r>
          </w:p>
        </w:tc>
      </w:tr>
    </w:tbl>
    <w:p/>
    <w:tbl>
      <w:tblPr>
        <w:tblStyle w:val="TableGrid"/>
        <w:tblW w:type="auto" w:w="0"/>
        <w:jc w:val="center"/>
        <w:tblLook w:firstColumn="1" w:firstRow="1" w:lastColumn="0" w:lastRow="0" w:noHBand="0" w:noVBand="1" w:val="04A0"/>
      </w:tblPr>
      <w:tblGrid>
        <w:gridCol w:w="5141"/>
        <w:gridCol w:w="5141"/>
      </w:tblGrid>
      <w:tr>
        <w:tc>
          <w:tcPr>
            <w:tcW w:type="dxa" w:w="3744"/>
            <w:vAlign w:val="center"/>
            <w:shd w:fill="D9EAF7"/>
          </w:tcPr>
          <w:p>
            <w:pPr>
              <w:spacing w:after="0"/>
              <w:jc w:val="left"/>
            </w:pPr>
            <w:r>
              <w:rPr>
                <w:b/>
                <w:sz w:val="17"/>
              </w:rPr>
              <w:t>Offline / external work</w:t>
            </w:r>
          </w:p>
        </w:tc>
        <w:tc>
          <w:tcPr>
            <w:tcW w:type="dxa" w:w="6048"/>
            <w:vAlign w:val="center"/>
            <w:shd w:fill="D9EAF7"/>
          </w:tcPr>
          <w:p>
            <w:pPr>
              <w:spacing w:after="0"/>
              <w:jc w:val="left"/>
            </w:pPr>
            <w:r>
              <w:rPr>
                <w:b/>
                <w:sz w:val="17"/>
              </w:rPr>
              <w:t>Purpose</w:t>
            </w:r>
          </w:p>
        </w:tc>
      </w:tr>
      <w:tr>
        <w:tc>
          <w:tcPr>
            <w:tcW w:type="dxa" w:w="3744"/>
            <w:vAlign w:val="center"/>
          </w:tcPr>
          <w:p>
            <w:pPr>
              <w:spacing w:after="0"/>
              <w:jc w:val="left"/>
            </w:pPr>
            <w:r>
              <w:rPr>
                <w:b w:val="0"/>
                <w:sz w:val="17"/>
              </w:rPr>
              <w:t>Magnetic separation, centrifugation, or washing</w:t>
            </w:r>
          </w:p>
        </w:tc>
        <w:tc>
          <w:tcPr>
            <w:tcW w:type="dxa" w:w="6048"/>
            <w:vAlign w:val="center"/>
          </w:tcPr>
          <w:p>
            <w:pPr>
              <w:spacing w:after="0"/>
              <w:jc w:val="left"/>
            </w:pPr>
            <w:r>
              <w:rPr>
                <w:b w:val="0"/>
                <w:sz w:val="17"/>
              </w:rPr>
              <w:t>Removal of excess stabilizer, salts, or unbound surface agent</w:t>
            </w:r>
          </w:p>
        </w:tc>
      </w:tr>
      <w:tr>
        <w:tc>
          <w:tcPr>
            <w:tcW w:type="dxa" w:w="3744"/>
            <w:vAlign w:val="center"/>
          </w:tcPr>
          <w:p>
            <w:pPr>
              <w:spacing w:after="0"/>
              <w:jc w:val="left"/>
            </w:pPr>
            <w:r>
              <w:rPr>
                <w:b w:val="0"/>
                <w:sz w:val="17"/>
              </w:rPr>
              <w:t>DLS and zeta potential</w:t>
            </w:r>
          </w:p>
        </w:tc>
        <w:tc>
          <w:tcPr>
            <w:tcW w:type="dxa" w:w="6048"/>
            <w:vAlign w:val="center"/>
          </w:tcPr>
          <w:p>
            <w:pPr>
              <w:spacing w:after="0"/>
              <w:jc w:val="left"/>
            </w:pPr>
            <w:r>
              <w:rPr>
                <w:b w:val="0"/>
                <w:sz w:val="17"/>
              </w:rPr>
              <w:t>Hydrodynamic size, size distribution, and surface charge</w:t>
            </w:r>
          </w:p>
        </w:tc>
      </w:tr>
      <w:tr>
        <w:tc>
          <w:tcPr>
            <w:tcW w:type="dxa" w:w="3744"/>
            <w:vAlign w:val="center"/>
          </w:tcPr>
          <w:p>
            <w:pPr>
              <w:spacing w:after="0"/>
              <w:jc w:val="left"/>
            </w:pPr>
            <w:r>
              <w:rPr>
                <w:b w:val="0"/>
                <w:sz w:val="17"/>
              </w:rPr>
              <w:t>FTIR / XRD / microscopy</w:t>
            </w:r>
          </w:p>
        </w:tc>
        <w:tc>
          <w:tcPr>
            <w:tcW w:type="dxa" w:w="6048"/>
            <w:vAlign w:val="center"/>
          </w:tcPr>
          <w:p>
            <w:pPr>
              <w:spacing w:after="0"/>
              <w:jc w:val="left"/>
            </w:pPr>
            <w:r>
              <w:rPr>
                <w:b w:val="0"/>
                <w:sz w:val="17"/>
              </w:rPr>
              <w:t>Surface chemistry, crystal phase, morphology, and aggregation assessment</w:t>
            </w:r>
          </w:p>
        </w:tc>
      </w:tr>
      <w:tr>
        <w:tc>
          <w:tcPr>
            <w:tcW w:type="dxa" w:w="3744"/>
            <w:vAlign w:val="center"/>
          </w:tcPr>
          <w:p>
            <w:pPr>
              <w:spacing w:after="0"/>
              <w:jc w:val="left"/>
            </w:pPr>
            <w:r>
              <w:rPr>
                <w:b w:val="0"/>
                <w:sz w:val="17"/>
              </w:rPr>
              <w:t>VSM or magnetic response testing</w:t>
            </w:r>
          </w:p>
        </w:tc>
        <w:tc>
          <w:tcPr>
            <w:tcW w:type="dxa" w:w="6048"/>
            <w:vAlign w:val="center"/>
          </w:tcPr>
          <w:p>
            <w:pPr>
              <w:spacing w:after="0"/>
              <w:jc w:val="left"/>
            </w:pPr>
            <w:r>
              <w:rPr>
                <w:b w:val="0"/>
                <w:sz w:val="17"/>
              </w:rPr>
              <w:t>Magnetization and magnetic behaviour</w:t>
            </w:r>
          </w:p>
        </w:tc>
      </w:tr>
      <w:tr>
        <w:tc>
          <w:tcPr>
            <w:tcW w:type="dxa" w:w="3744"/>
            <w:vAlign w:val="center"/>
          </w:tcPr>
          <w:p>
            <w:pPr>
              <w:spacing w:after="0"/>
              <w:jc w:val="left"/>
            </w:pPr>
            <w:r>
              <w:rPr>
                <w:b w:val="0"/>
                <w:sz w:val="17"/>
              </w:rPr>
              <w:t>Cytotoxicity / cellular uptake / imaging models</w:t>
            </w:r>
          </w:p>
        </w:tc>
        <w:tc>
          <w:tcPr>
            <w:tcW w:type="dxa" w:w="6048"/>
            <w:vAlign w:val="center"/>
          </w:tcPr>
          <w:p>
            <w:pPr>
              <w:spacing w:after="0"/>
              <w:jc w:val="left"/>
            </w:pPr>
            <w:r>
              <w:rPr>
                <w:b w:val="0"/>
                <w:sz w:val="17"/>
              </w:rPr>
              <w:t>Biological and theranostic relevance</w:t>
            </w:r>
          </w:p>
        </w:tc>
      </w:tr>
      <w:tr>
        <w:tc>
          <w:tcPr>
            <w:tcW w:type="dxa" w:w="3744"/>
            <w:vAlign w:val="center"/>
          </w:tcPr>
          <w:p>
            <w:pPr>
              <w:spacing w:after="0"/>
              <w:jc w:val="left"/>
            </w:pPr>
            <w:r>
              <w:rPr>
                <w:b w:val="0"/>
                <w:sz w:val="17"/>
              </w:rPr>
              <w:t>Sterility and endotoxin testing</w:t>
            </w:r>
          </w:p>
        </w:tc>
        <w:tc>
          <w:tcPr>
            <w:tcW w:type="dxa" w:w="6048"/>
            <w:vAlign w:val="center"/>
          </w:tcPr>
          <w:p>
            <w:pPr>
              <w:spacing w:after="0"/>
              <w:jc w:val="left"/>
            </w:pPr>
            <w:r>
              <w:rPr>
                <w:b w:val="0"/>
                <w:sz w:val="17"/>
              </w:rPr>
              <w:t>Required for advanced biomedical workflows</w:t>
            </w:r>
          </w:p>
        </w:tc>
      </w:tr>
    </w:tbl>
    <w:p/>
    <w:p>
      <w:pPr>
        <w:pStyle w:val="Heading1"/>
      </w:pPr>
      <w:r>
        <w:t>2. Purpose of This Supporting Information</w:t>
      </w:r>
    </w:p>
    <w:p>
      <w:pPr>
        <w:spacing w:after="120" w:line="259" w:lineRule="auto"/>
      </w:pPr>
      <w:r>
        <w:rPr>
          <w:sz w:val="21"/>
        </w:rPr>
        <w:t>The main Protoly-fillable protocol provides the operational content. This supporting information document explains the background, project intent, scientific logic, interpretation strategy, and limitations behind the iron oxide nanoparticle surface-conditioning workflow.</w:t>
      </w:r>
    </w:p>
    <w:p>
      <w:pPr>
        <w:spacing w:after="120" w:line="259" w:lineRule="auto"/>
      </w:pPr>
      <w:r>
        <w:rPr>
          <w:sz w:val="21"/>
        </w:rPr>
        <w:t>This document is intended to help a reader understand why surface conditioning is important before downstream theranostic model studies. It also clarifies which parts are automation-supported and which parts require offline validation.</w:t>
      </w:r>
    </w:p>
    <w:p>
      <w:pPr>
        <w:pStyle w:val="Heading1"/>
      </w:pPr>
      <w:r>
        <w:t>3. Conceptual Aim of the Protocol</w:t>
      </w:r>
    </w:p>
    <w:p>
      <w:pPr>
        <w:spacing w:after="120" w:line="259" w:lineRule="auto"/>
      </w:pPr>
      <w:r>
        <w:rPr>
          <w:sz w:val="21"/>
        </w:rPr>
        <w:t>Iron oxide nanoparticles are often discussed as magnetic nanomaterials, but their practical behaviour depends heavily on the condition of their surface. A well-synthesized magnetic core may still perform poorly in aqueous or biological media if the particle surface is unstable, poorly coated, highly aggregated, or incompatible with the intended medium.</w:t>
      </w:r>
    </w:p>
    <w:p>
      <w:pPr>
        <w:spacing w:after="120" w:line="259" w:lineRule="auto"/>
      </w:pPr>
      <w:r>
        <w:rPr>
          <w:sz w:val="21"/>
        </w:rPr>
        <w:t>The conceptual aim of this protocol is to show that surface conditioning can be treated as a controlled workflow rather than an informal manual step. By defining dispensing, mixing, heating, waiting, optional sonication, and visual documentation in Protoly, the conditioning process becomes easier to repeat, compare, and improve.</w:t>
      </w:r>
    </w:p>
    <w:p>
      <w:pPr>
        <w:spacing w:after="120" w:line="259" w:lineRule="auto"/>
      </w:pPr>
      <w:r>
        <w:rPr>
          <w:sz w:val="21"/>
        </w:rPr>
        <w:t>For webinar and training purposes, this protocol demonstrates the movement from raw or pre-prepared iron oxide nanoparticle dispersion to a more stable research-use dispersion that may be suitable for later magnetic, imaging, bio-interface, or drug-delivery model studies.</w:t>
      </w:r>
    </w:p>
    <w:p>
      <w:pPr>
        <w:pStyle w:val="Heading1"/>
      </w:pPr>
      <w:r>
        <w:t>4. Why Iron Oxide Nanoparticles Were Selected</w:t>
      </w:r>
    </w:p>
    <w:p>
      <w:pPr>
        <w:spacing w:after="120" w:line="259" w:lineRule="auto"/>
      </w:pPr>
      <w:r>
        <w:rPr>
          <w:sz w:val="21"/>
        </w:rPr>
        <w:t>Iron oxide nanoparticles are a strong protocol choice for Protoly because they connect nanomaterial science with biomedical model applications, formulation stability, magnetic response, and surface chemistry. They can be used to explain theranostic concepts without claiming that a diagnostic or therapeutic product has been created.</w:t>
      </w:r>
    </w:p>
    <w:tbl>
      <w:tblPr>
        <w:tblStyle w:val="TableGrid"/>
        <w:tblW w:type="auto" w:w="0"/>
        <w:jc w:val="center"/>
        <w:tblLook w:firstColumn="1" w:firstRow="1" w:lastColumn="0" w:lastRow="0" w:noHBand="0" w:noVBand="1" w:val="04A0"/>
      </w:tblPr>
      <w:tblGrid>
        <w:gridCol w:w="5141"/>
        <w:gridCol w:w="5141"/>
      </w:tblGrid>
      <w:tr>
        <w:tc>
          <w:tcPr>
            <w:tcW w:type="dxa" w:w="2880"/>
            <w:vAlign w:val="center"/>
            <w:shd w:fill="D9EAF7"/>
          </w:tcPr>
          <w:p>
            <w:pPr>
              <w:spacing w:after="0"/>
              <w:jc w:val="left"/>
            </w:pPr>
            <w:r>
              <w:rPr>
                <w:b/>
                <w:sz w:val="17"/>
              </w:rPr>
              <w:t>Feature</w:t>
            </w:r>
          </w:p>
        </w:tc>
        <w:tc>
          <w:tcPr>
            <w:tcW w:type="dxa" w:w="6912"/>
            <w:vAlign w:val="center"/>
            <w:shd w:fill="D9EAF7"/>
          </w:tcPr>
          <w:p>
            <w:pPr>
              <w:spacing w:after="0"/>
              <w:jc w:val="left"/>
            </w:pPr>
            <w:r>
              <w:rPr>
                <w:b/>
                <w:sz w:val="17"/>
              </w:rPr>
              <w:t>Relevance to this protocol</w:t>
            </w:r>
          </w:p>
        </w:tc>
      </w:tr>
      <w:tr>
        <w:tc>
          <w:tcPr>
            <w:tcW w:type="dxa" w:w="2880"/>
            <w:vAlign w:val="center"/>
          </w:tcPr>
          <w:p>
            <w:pPr>
              <w:spacing w:after="0"/>
              <w:jc w:val="left"/>
            </w:pPr>
            <w:r>
              <w:rPr>
                <w:b w:val="0"/>
                <w:sz w:val="17"/>
              </w:rPr>
              <w:t>Magnetic response</w:t>
            </w:r>
          </w:p>
        </w:tc>
        <w:tc>
          <w:tcPr>
            <w:tcW w:type="dxa" w:w="6912"/>
            <w:vAlign w:val="center"/>
          </w:tcPr>
          <w:p>
            <w:pPr>
              <w:spacing w:after="0"/>
              <w:jc w:val="left"/>
            </w:pPr>
            <w:r>
              <w:rPr>
                <w:b w:val="0"/>
                <w:sz w:val="17"/>
              </w:rPr>
              <w:t>Supports discussion of magnetic separation, imaging models, targeting concepts, and hyperthermia-related research</w:t>
            </w:r>
          </w:p>
        </w:tc>
      </w:tr>
      <w:tr>
        <w:tc>
          <w:tcPr>
            <w:tcW w:type="dxa" w:w="2880"/>
            <w:vAlign w:val="center"/>
          </w:tcPr>
          <w:p>
            <w:pPr>
              <w:spacing w:after="0"/>
              <w:jc w:val="left"/>
            </w:pPr>
            <w:r>
              <w:rPr>
                <w:b w:val="0"/>
                <w:sz w:val="17"/>
              </w:rPr>
              <w:t>Surface-dependent stability</w:t>
            </w:r>
          </w:p>
        </w:tc>
        <w:tc>
          <w:tcPr>
            <w:tcW w:type="dxa" w:w="6912"/>
            <w:vAlign w:val="center"/>
          </w:tcPr>
          <w:p>
            <w:pPr>
              <w:spacing w:after="0"/>
              <w:jc w:val="left"/>
            </w:pPr>
            <w:r>
              <w:rPr>
                <w:b w:val="0"/>
                <w:sz w:val="17"/>
              </w:rPr>
              <w:t>Makes conditioning and coating scientifically meaningful</w:t>
            </w:r>
          </w:p>
        </w:tc>
      </w:tr>
      <w:tr>
        <w:tc>
          <w:tcPr>
            <w:tcW w:type="dxa" w:w="2880"/>
            <w:vAlign w:val="center"/>
          </w:tcPr>
          <w:p>
            <w:pPr>
              <w:spacing w:after="0"/>
              <w:jc w:val="left"/>
            </w:pPr>
            <w:r>
              <w:rPr>
                <w:b w:val="0"/>
                <w:sz w:val="17"/>
              </w:rPr>
              <w:t>Visible dispersion behaviour</w:t>
            </w:r>
          </w:p>
        </w:tc>
        <w:tc>
          <w:tcPr>
            <w:tcW w:type="dxa" w:w="6912"/>
            <w:vAlign w:val="center"/>
          </w:tcPr>
          <w:p>
            <w:pPr>
              <w:spacing w:after="0"/>
              <w:jc w:val="left"/>
            </w:pPr>
            <w:r>
              <w:rPr>
                <w:b w:val="0"/>
                <w:sz w:val="17"/>
              </w:rPr>
              <w:t>Settling and aggregation can be documented by camera</w:t>
            </w:r>
          </w:p>
        </w:tc>
      </w:tr>
      <w:tr>
        <w:tc>
          <w:tcPr>
            <w:tcW w:type="dxa" w:w="2880"/>
            <w:vAlign w:val="center"/>
          </w:tcPr>
          <w:p>
            <w:pPr>
              <w:spacing w:after="0"/>
              <w:jc w:val="left"/>
            </w:pPr>
            <w:r>
              <w:rPr>
                <w:b w:val="0"/>
                <w:sz w:val="17"/>
              </w:rPr>
              <w:t>Multiple coating options</w:t>
            </w:r>
          </w:p>
        </w:tc>
        <w:tc>
          <w:tcPr>
            <w:tcW w:type="dxa" w:w="6912"/>
            <w:vAlign w:val="center"/>
          </w:tcPr>
          <w:p>
            <w:pPr>
              <w:spacing w:after="0"/>
              <w:jc w:val="left"/>
            </w:pPr>
            <w:r>
              <w:rPr>
                <w:b w:val="0"/>
                <w:sz w:val="17"/>
              </w:rPr>
              <w:t>Citrate, dextran, PEG, chitosan, PVA, or biomolecule-compatible systems can be compared</w:t>
            </w:r>
          </w:p>
        </w:tc>
      </w:tr>
      <w:tr>
        <w:tc>
          <w:tcPr>
            <w:tcW w:type="dxa" w:w="2880"/>
            <w:vAlign w:val="center"/>
          </w:tcPr>
          <w:p>
            <w:pPr>
              <w:spacing w:after="0"/>
              <w:jc w:val="left"/>
            </w:pPr>
            <w:r>
              <w:rPr>
                <w:b w:val="0"/>
                <w:sz w:val="17"/>
              </w:rPr>
              <w:t>Theranostic relevance</w:t>
            </w:r>
          </w:p>
        </w:tc>
        <w:tc>
          <w:tcPr>
            <w:tcW w:type="dxa" w:w="6912"/>
            <w:vAlign w:val="center"/>
          </w:tcPr>
          <w:p>
            <w:pPr>
              <w:spacing w:after="0"/>
              <w:jc w:val="left"/>
            </w:pPr>
            <w:r>
              <w:rPr>
                <w:b w:val="0"/>
                <w:sz w:val="17"/>
              </w:rPr>
              <w:t>Links diagnostic and therapeutic model thinking in a single material class</w:t>
            </w:r>
          </w:p>
        </w:tc>
      </w:tr>
    </w:tbl>
    <w:p/>
    <w:p>
      <w:pPr>
        <w:pStyle w:val="Heading1"/>
      </w:pPr>
      <w:r>
        <w:t>5. Scientific Background</w:t>
      </w:r>
    </w:p>
    <w:p>
      <w:pPr>
        <w:spacing w:after="120" w:line="259" w:lineRule="auto"/>
      </w:pPr>
      <w:r>
        <w:rPr>
          <w:sz w:val="21"/>
        </w:rPr>
        <w:t>Iron oxide nanoparticles may include magnetite, maghemite, or mixed iron oxide phases depending on the synthesis method. In biomedical research, these particles are often investigated because magnetic behaviour can be combined with surface modification and interaction with biological systems. However, nanoscale magnetic materials usually require appropriate stabilization because magnetic attraction, van der Waals forces, and medium changes can cause aggregation.</w:t>
      </w:r>
    </w:p>
    <w:p>
      <w:pPr>
        <w:spacing w:after="120" w:line="259" w:lineRule="auto"/>
      </w:pPr>
      <w:r>
        <w:rPr>
          <w:sz w:val="21"/>
        </w:rPr>
        <w:t>Surface conditioning may involve adsorption of small molecules, polymer coating, ligand-compatible preparation, buffer exchange, or dispersion stabilization. The surface layer can influence hydrodynamic size, zeta potential, colloidal stability, protein adsorption, cell interaction, magnetic separation behaviour, and compatibility with downstream assays.</w:t>
      </w:r>
    </w:p>
    <w:tbl>
      <w:tblPr>
        <w:tblStyle w:val="TableGrid"/>
        <w:tblW w:type="auto" w:w="0"/>
        <w:jc w:val="center"/>
        <w:tblLook w:firstColumn="1" w:firstRow="1" w:lastColumn="0" w:lastRow="0" w:noHBand="0" w:noVBand="1" w:val="04A0"/>
      </w:tblPr>
      <w:tblGrid>
        <w:gridCol w:w="5141"/>
        <w:gridCol w:w="5141"/>
      </w:tblGrid>
      <w:tr>
        <w:tc>
          <w:tcPr>
            <w:tcW w:type="dxa" w:w="3024"/>
            <w:vAlign w:val="center"/>
            <w:shd w:fill="D9EAF7"/>
          </w:tcPr>
          <w:p>
            <w:pPr>
              <w:spacing w:after="0"/>
              <w:jc w:val="left"/>
            </w:pPr>
            <w:r>
              <w:rPr>
                <w:b/>
                <w:sz w:val="17"/>
              </w:rPr>
              <w:t>Surface factor</w:t>
            </w:r>
          </w:p>
        </w:tc>
        <w:tc>
          <w:tcPr>
            <w:tcW w:type="dxa" w:w="6768"/>
            <w:vAlign w:val="center"/>
            <w:shd w:fill="D9EAF7"/>
          </w:tcPr>
          <w:p>
            <w:pPr>
              <w:spacing w:after="0"/>
              <w:jc w:val="left"/>
            </w:pPr>
            <w:r>
              <w:rPr>
                <w:b/>
                <w:sz w:val="17"/>
              </w:rPr>
              <w:t>Possible influence</w:t>
            </w:r>
          </w:p>
        </w:tc>
      </w:tr>
      <w:tr>
        <w:tc>
          <w:tcPr>
            <w:tcW w:type="dxa" w:w="3024"/>
            <w:vAlign w:val="center"/>
          </w:tcPr>
          <w:p>
            <w:pPr>
              <w:spacing w:after="0"/>
              <w:jc w:val="left"/>
            </w:pPr>
            <w:r>
              <w:rPr>
                <w:b w:val="0"/>
                <w:sz w:val="17"/>
              </w:rPr>
              <w:t>Surface charge</w:t>
            </w:r>
          </w:p>
        </w:tc>
        <w:tc>
          <w:tcPr>
            <w:tcW w:type="dxa" w:w="6768"/>
            <w:vAlign w:val="center"/>
          </w:tcPr>
          <w:p>
            <w:pPr>
              <w:spacing w:after="0"/>
              <w:jc w:val="left"/>
            </w:pPr>
            <w:r>
              <w:rPr>
                <w:b w:val="0"/>
                <w:sz w:val="17"/>
              </w:rPr>
              <w:t>Affects colloidal stability and interaction with cells or proteins</w:t>
            </w:r>
          </w:p>
        </w:tc>
      </w:tr>
      <w:tr>
        <w:tc>
          <w:tcPr>
            <w:tcW w:type="dxa" w:w="3024"/>
            <w:vAlign w:val="center"/>
          </w:tcPr>
          <w:p>
            <w:pPr>
              <w:spacing w:after="0"/>
              <w:jc w:val="left"/>
            </w:pPr>
            <w:r>
              <w:rPr>
                <w:b w:val="0"/>
                <w:sz w:val="17"/>
              </w:rPr>
              <w:t>Coating thickness</w:t>
            </w:r>
          </w:p>
        </w:tc>
        <w:tc>
          <w:tcPr>
            <w:tcW w:type="dxa" w:w="6768"/>
            <w:vAlign w:val="center"/>
          </w:tcPr>
          <w:p>
            <w:pPr>
              <w:spacing w:after="0"/>
              <w:jc w:val="left"/>
            </w:pPr>
            <w:r>
              <w:rPr>
                <w:b w:val="0"/>
                <w:sz w:val="17"/>
              </w:rPr>
              <w:t>Changes hydrodynamic size and steric stabilization</w:t>
            </w:r>
          </w:p>
        </w:tc>
      </w:tr>
      <w:tr>
        <w:tc>
          <w:tcPr>
            <w:tcW w:type="dxa" w:w="3024"/>
            <w:vAlign w:val="center"/>
          </w:tcPr>
          <w:p>
            <w:pPr>
              <w:spacing w:after="0"/>
              <w:jc w:val="left"/>
            </w:pPr>
            <w:r>
              <w:rPr>
                <w:b w:val="0"/>
                <w:sz w:val="17"/>
              </w:rPr>
              <w:t>Functional groups</w:t>
            </w:r>
          </w:p>
        </w:tc>
        <w:tc>
          <w:tcPr>
            <w:tcW w:type="dxa" w:w="6768"/>
            <w:vAlign w:val="center"/>
          </w:tcPr>
          <w:p>
            <w:pPr>
              <w:spacing w:after="0"/>
              <w:jc w:val="left"/>
            </w:pPr>
            <w:r>
              <w:rPr>
                <w:b w:val="0"/>
                <w:sz w:val="17"/>
              </w:rPr>
              <w:t>Enable later conjugation or interaction with ligands</w:t>
            </w:r>
          </w:p>
        </w:tc>
      </w:tr>
      <w:tr>
        <w:tc>
          <w:tcPr>
            <w:tcW w:type="dxa" w:w="3024"/>
            <w:vAlign w:val="center"/>
          </w:tcPr>
          <w:p>
            <w:pPr>
              <w:spacing w:after="0"/>
              <w:jc w:val="left"/>
            </w:pPr>
            <w:r>
              <w:rPr>
                <w:b w:val="0"/>
                <w:sz w:val="17"/>
              </w:rPr>
              <w:t>Medium compatibility</w:t>
            </w:r>
          </w:p>
        </w:tc>
        <w:tc>
          <w:tcPr>
            <w:tcW w:type="dxa" w:w="6768"/>
            <w:vAlign w:val="center"/>
          </w:tcPr>
          <w:p>
            <w:pPr>
              <w:spacing w:after="0"/>
              <w:jc w:val="left"/>
            </w:pPr>
            <w:r>
              <w:rPr>
                <w:b w:val="0"/>
                <w:sz w:val="17"/>
              </w:rPr>
              <w:t>Determines behaviour in water, buffer, salt, or biological media</w:t>
            </w:r>
          </w:p>
        </w:tc>
      </w:tr>
      <w:tr>
        <w:tc>
          <w:tcPr>
            <w:tcW w:type="dxa" w:w="3024"/>
            <w:vAlign w:val="center"/>
          </w:tcPr>
          <w:p>
            <w:pPr>
              <w:spacing w:after="0"/>
              <w:jc w:val="left"/>
            </w:pPr>
            <w:r>
              <w:rPr>
                <w:b w:val="0"/>
                <w:sz w:val="17"/>
              </w:rPr>
              <w:t>Aggregation state</w:t>
            </w:r>
          </w:p>
        </w:tc>
        <w:tc>
          <w:tcPr>
            <w:tcW w:type="dxa" w:w="6768"/>
            <w:vAlign w:val="center"/>
          </w:tcPr>
          <w:p>
            <w:pPr>
              <w:spacing w:after="0"/>
              <w:jc w:val="left"/>
            </w:pPr>
            <w:r>
              <w:rPr>
                <w:b w:val="0"/>
                <w:sz w:val="17"/>
              </w:rPr>
              <w:t>Affects magnetic response, settling, and biological interpretation</w:t>
            </w:r>
          </w:p>
        </w:tc>
      </w:tr>
    </w:tbl>
    <w:p/>
    <w:p>
      <w:pPr>
        <w:pStyle w:val="Heading1"/>
      </w:pPr>
      <w:r>
        <w:t>6. Theranostic Model Intent</w:t>
      </w:r>
    </w:p>
    <w:p>
      <w:pPr>
        <w:spacing w:after="120" w:line="259" w:lineRule="auto"/>
      </w:pPr>
      <w:r>
        <w:rPr>
          <w:sz w:val="21"/>
        </w:rPr>
        <w:t>The word theranostic should be used carefully. In this protocol, it means that the conditioned particles are prepared as a research model that could later be studied for imaging, magnetic response, targeting, drug-delivery, or hyperthermia-related concepts. It does not mean that the particles are clinically validated for diagnosis or treatment.</w:t>
      </w:r>
    </w:p>
    <w:p>
      <w:pPr>
        <w:spacing w:after="120" w:line="259" w:lineRule="auto"/>
      </w:pPr>
      <w:r>
        <w:rPr>
          <w:sz w:val="21"/>
        </w:rPr>
        <w:t>The protocol is therefore best framed as a preparatory and conditioning workflow. It produces a better-documented research dispersion that may be taken forward for external testing. The output is a conditioned nanoparticle prototype, not a finished theranostic product.</w:t>
      </w:r>
    </w:p>
    <w:p>
      <w:pPr>
        <w:pStyle w:val="Heading1"/>
      </w:pPr>
      <w:r>
        <w:t>7. Difference from Other Protoly Nanoparticle Protocols</w:t>
      </w:r>
    </w:p>
    <w:tbl>
      <w:tblPr>
        <w:tblStyle w:val="TableGrid"/>
        <w:tblW w:type="auto" w:w="0"/>
        <w:jc w:val="center"/>
        <w:tblLook w:firstColumn="1" w:firstRow="1" w:lastColumn="0" w:lastRow="0" w:noHBand="0" w:noVBand="1" w:val="04A0"/>
      </w:tblPr>
      <w:tblGrid>
        <w:gridCol w:w="3427"/>
        <w:gridCol w:w="3427"/>
        <w:gridCol w:w="3427"/>
      </w:tblGrid>
      <w:tr>
        <w:tc>
          <w:tcPr>
            <w:tcW w:type="dxa" w:w="3024"/>
            <w:vAlign w:val="center"/>
            <w:shd w:fill="D9EAF7"/>
          </w:tcPr>
          <w:p>
            <w:pPr>
              <w:spacing w:after="0"/>
              <w:jc w:val="left"/>
            </w:pPr>
            <w:r>
              <w:rPr>
                <w:b/>
                <w:sz w:val="17"/>
              </w:rPr>
              <w:t>Protocol type</w:t>
            </w:r>
          </w:p>
        </w:tc>
        <w:tc>
          <w:tcPr>
            <w:tcW w:type="dxa" w:w="3312"/>
            <w:vAlign w:val="center"/>
            <w:shd w:fill="D9EAF7"/>
          </w:tcPr>
          <w:p>
            <w:pPr>
              <w:spacing w:after="0"/>
              <w:jc w:val="left"/>
            </w:pPr>
            <w:r>
              <w:rPr>
                <w:b/>
                <w:sz w:val="17"/>
              </w:rPr>
              <w:t>Main output</w:t>
            </w:r>
          </w:p>
        </w:tc>
        <w:tc>
          <w:tcPr>
            <w:tcW w:type="dxa" w:w="3456"/>
            <w:vAlign w:val="center"/>
            <w:shd w:fill="D9EAF7"/>
          </w:tcPr>
          <w:p>
            <w:pPr>
              <w:spacing w:after="0"/>
              <w:jc w:val="left"/>
            </w:pPr>
            <w:r>
              <w:rPr>
                <w:b/>
                <w:sz w:val="17"/>
              </w:rPr>
              <w:t>Main focus</w:t>
            </w:r>
          </w:p>
        </w:tc>
      </w:tr>
      <w:tr>
        <w:tc>
          <w:tcPr>
            <w:tcW w:type="dxa" w:w="3024"/>
            <w:vAlign w:val="center"/>
          </w:tcPr>
          <w:p>
            <w:pPr>
              <w:spacing w:after="0"/>
              <w:jc w:val="left"/>
            </w:pPr>
            <w:r>
              <w:rPr>
                <w:b w:val="0"/>
                <w:sz w:val="17"/>
              </w:rPr>
              <w:t>Silver nanoparticle synthesis</w:t>
            </w:r>
          </w:p>
        </w:tc>
        <w:tc>
          <w:tcPr>
            <w:tcW w:type="dxa" w:w="3312"/>
            <w:vAlign w:val="center"/>
          </w:tcPr>
          <w:p>
            <w:pPr>
              <w:spacing w:after="0"/>
              <w:jc w:val="left"/>
            </w:pPr>
            <w:r>
              <w:rPr>
                <w:b w:val="0"/>
                <w:sz w:val="17"/>
              </w:rPr>
              <w:t>Metal nanoparticle dispersion</w:t>
            </w:r>
          </w:p>
        </w:tc>
        <w:tc>
          <w:tcPr>
            <w:tcW w:type="dxa" w:w="3456"/>
            <w:vAlign w:val="center"/>
          </w:tcPr>
          <w:p>
            <w:pPr>
              <w:spacing w:after="0"/>
              <w:jc w:val="left"/>
            </w:pPr>
            <w:r>
              <w:rPr>
                <w:b w:val="0"/>
                <w:sz w:val="17"/>
              </w:rPr>
              <w:t>Synthesis and antimicrobial material model</w:t>
            </w:r>
          </w:p>
        </w:tc>
      </w:tr>
      <w:tr>
        <w:tc>
          <w:tcPr>
            <w:tcW w:type="dxa" w:w="3024"/>
            <w:vAlign w:val="center"/>
          </w:tcPr>
          <w:p>
            <w:pPr>
              <w:spacing w:after="0"/>
              <w:jc w:val="left"/>
            </w:pPr>
            <w:r>
              <w:rPr>
                <w:b w:val="0"/>
                <w:sz w:val="17"/>
              </w:rPr>
              <w:t>Zinc oxide nanoparticle workflow</w:t>
            </w:r>
          </w:p>
        </w:tc>
        <w:tc>
          <w:tcPr>
            <w:tcW w:type="dxa" w:w="3312"/>
            <w:vAlign w:val="center"/>
          </w:tcPr>
          <w:p>
            <w:pPr>
              <w:spacing w:after="0"/>
              <w:jc w:val="left"/>
            </w:pPr>
            <w:r>
              <w:rPr>
                <w:b w:val="0"/>
                <w:sz w:val="17"/>
              </w:rPr>
              <w:t>Metal oxide dispersion</w:t>
            </w:r>
          </w:p>
        </w:tc>
        <w:tc>
          <w:tcPr>
            <w:tcW w:type="dxa" w:w="3456"/>
            <w:vAlign w:val="center"/>
          </w:tcPr>
          <w:p>
            <w:pPr>
              <w:spacing w:after="0"/>
              <w:jc w:val="left"/>
            </w:pPr>
            <w:r>
              <w:rPr>
                <w:b w:val="0"/>
                <w:sz w:val="17"/>
              </w:rPr>
              <w:t>UV-responsive screening and sunscreen model</w:t>
            </w:r>
          </w:p>
        </w:tc>
      </w:tr>
      <w:tr>
        <w:tc>
          <w:tcPr>
            <w:tcW w:type="dxa" w:w="3024"/>
            <w:vAlign w:val="center"/>
          </w:tcPr>
          <w:p>
            <w:pPr>
              <w:spacing w:after="0"/>
              <w:jc w:val="left"/>
            </w:pPr>
            <w:r>
              <w:rPr>
                <w:b w:val="0"/>
                <w:sz w:val="17"/>
              </w:rPr>
              <w:t>Chitosan nanoparticle workflow</w:t>
            </w:r>
          </w:p>
        </w:tc>
        <w:tc>
          <w:tcPr>
            <w:tcW w:type="dxa" w:w="3312"/>
            <w:vAlign w:val="center"/>
          </w:tcPr>
          <w:p>
            <w:pPr>
              <w:spacing w:after="0"/>
              <w:jc w:val="left"/>
            </w:pPr>
            <w:r>
              <w:rPr>
                <w:b w:val="0"/>
                <w:sz w:val="17"/>
              </w:rPr>
              <w:t>Polymeric nanocarrier dispersion</w:t>
            </w:r>
          </w:p>
        </w:tc>
        <w:tc>
          <w:tcPr>
            <w:tcW w:type="dxa" w:w="3456"/>
            <w:vAlign w:val="center"/>
          </w:tcPr>
          <w:p>
            <w:pPr>
              <w:spacing w:after="0"/>
              <w:jc w:val="left"/>
            </w:pPr>
            <w:r>
              <w:rPr>
                <w:b w:val="0"/>
                <w:sz w:val="17"/>
              </w:rPr>
              <w:t>Drug delivery model by ionic gelation</w:t>
            </w:r>
          </w:p>
        </w:tc>
      </w:tr>
      <w:tr>
        <w:tc>
          <w:tcPr>
            <w:tcW w:type="dxa" w:w="3024"/>
            <w:vAlign w:val="center"/>
          </w:tcPr>
          <w:p>
            <w:pPr>
              <w:spacing w:after="0"/>
              <w:jc w:val="left"/>
            </w:pPr>
            <w:r>
              <w:rPr>
                <w:b w:val="0"/>
                <w:sz w:val="17"/>
              </w:rPr>
              <w:t>Liposome workflow</w:t>
            </w:r>
          </w:p>
        </w:tc>
        <w:tc>
          <w:tcPr>
            <w:tcW w:type="dxa" w:w="3312"/>
            <w:vAlign w:val="center"/>
          </w:tcPr>
          <w:p>
            <w:pPr>
              <w:spacing w:after="0"/>
              <w:jc w:val="left"/>
            </w:pPr>
            <w:r>
              <w:rPr>
                <w:b w:val="0"/>
                <w:sz w:val="17"/>
              </w:rPr>
              <w:t>Lipid vesicle dispersion</w:t>
            </w:r>
          </w:p>
        </w:tc>
        <w:tc>
          <w:tcPr>
            <w:tcW w:type="dxa" w:w="3456"/>
            <w:vAlign w:val="center"/>
          </w:tcPr>
          <w:p>
            <w:pPr>
              <w:spacing w:after="0"/>
              <w:jc w:val="left"/>
            </w:pPr>
            <w:r>
              <w:rPr>
                <w:b w:val="0"/>
                <w:sz w:val="17"/>
              </w:rPr>
              <w:t>Hydration and sonication-based nanocarrier model</w:t>
            </w:r>
          </w:p>
        </w:tc>
      </w:tr>
      <w:tr>
        <w:tc>
          <w:tcPr>
            <w:tcW w:type="dxa" w:w="3024"/>
            <w:vAlign w:val="center"/>
          </w:tcPr>
          <w:p>
            <w:pPr>
              <w:spacing w:after="0"/>
              <w:jc w:val="left"/>
            </w:pPr>
            <w:r>
              <w:rPr>
                <w:b w:val="0"/>
                <w:sz w:val="17"/>
              </w:rPr>
              <w:t>Iron oxide conditioning</w:t>
            </w:r>
          </w:p>
        </w:tc>
        <w:tc>
          <w:tcPr>
            <w:tcW w:type="dxa" w:w="3312"/>
            <w:vAlign w:val="center"/>
          </w:tcPr>
          <w:p>
            <w:pPr>
              <w:spacing w:after="0"/>
              <w:jc w:val="left"/>
            </w:pPr>
            <w:r>
              <w:rPr>
                <w:b w:val="0"/>
                <w:sz w:val="17"/>
              </w:rPr>
              <w:t>Conditioned magnetic nanoparticle dispersion</w:t>
            </w:r>
          </w:p>
        </w:tc>
        <w:tc>
          <w:tcPr>
            <w:tcW w:type="dxa" w:w="3456"/>
            <w:vAlign w:val="center"/>
          </w:tcPr>
          <w:p>
            <w:pPr>
              <w:spacing w:after="0"/>
              <w:jc w:val="left"/>
            </w:pPr>
            <w:r>
              <w:rPr>
                <w:b w:val="0"/>
                <w:sz w:val="17"/>
              </w:rPr>
              <w:t>Surface stabilization, coating, and theranostic model readiness</w:t>
            </w:r>
          </w:p>
        </w:tc>
      </w:tr>
    </w:tbl>
    <w:p/>
    <w:p>
      <w:pPr>
        <w:spacing w:after="120" w:line="259" w:lineRule="auto"/>
      </w:pPr>
      <w:r>
        <w:rPr>
          <w:sz w:val="21"/>
        </w:rPr>
        <w:t>This distinction helps avoid repetition. Protocol 10 is not mainly a synthesis protocol; it is a surface-conditioning and dispersion-preparation workflow for pre-prepared iron oxide nanoparticles.</w:t>
      </w:r>
    </w:p>
    <w:p>
      <w:pPr>
        <w:pStyle w:val="Heading1"/>
      </w:pPr>
      <w:r>
        <w:t>8. Why Surface Conditioning Is Critical</w:t>
      </w:r>
    </w:p>
    <w:p>
      <w:pPr>
        <w:spacing w:after="120" w:line="259" w:lineRule="auto"/>
      </w:pPr>
      <w:r>
        <w:rPr>
          <w:sz w:val="21"/>
        </w:rPr>
        <w:t>Iron oxide nanoparticles can aggregate quickly if they are not stabilized properly. Aggregation can change the apparent size, magnetic behaviour, settling rate, cellular interaction, optical appearance, and biological assay outcome. A sample that looks stable immediately after sonication may still settle after a short time if the surface chemistry is not suitable.</w:t>
      </w:r>
    </w:p>
    <w:p>
      <w:pPr>
        <w:spacing w:after="120" w:line="259" w:lineRule="auto"/>
      </w:pPr>
      <w:r>
        <w:rPr>
          <w:sz w:val="21"/>
        </w:rPr>
        <w:t>Surface conditioning improves the chance that particles remain dispersed long enough for characterization and model studies. It can also introduce functional groups or surface compatibility needed for later conjugation, protein interaction, or biological evaluation.</w:t>
      </w:r>
    </w:p>
    <w:tbl>
      <w:tblPr>
        <w:tblStyle w:val="TableGrid"/>
        <w:tblW w:type="auto" w:w="0"/>
        <w:jc w:val="center"/>
        <w:tblLook w:firstColumn="1" w:firstRow="1" w:lastColumn="0" w:lastRow="0" w:noHBand="0" w:noVBand="1" w:val="04A0"/>
      </w:tblPr>
      <w:tblGrid>
        <w:gridCol w:w="5141"/>
        <w:gridCol w:w="5141"/>
      </w:tblGrid>
      <w:tr>
        <w:tc>
          <w:tcPr>
            <w:tcW w:type="dxa" w:w="3600"/>
            <w:vAlign w:val="center"/>
            <w:shd w:fill="D9EAF7"/>
          </w:tcPr>
          <w:p>
            <w:pPr>
              <w:spacing w:after="0"/>
              <w:jc w:val="left"/>
            </w:pPr>
            <w:r>
              <w:rPr>
                <w:b/>
                <w:sz w:val="17"/>
              </w:rPr>
              <w:t>Problem without conditioning</w:t>
            </w:r>
          </w:p>
        </w:tc>
        <w:tc>
          <w:tcPr>
            <w:tcW w:type="dxa" w:w="6192"/>
            <w:vAlign w:val="center"/>
            <w:shd w:fill="D9EAF7"/>
          </w:tcPr>
          <w:p>
            <w:pPr>
              <w:spacing w:after="0"/>
              <w:jc w:val="left"/>
            </w:pPr>
            <w:r>
              <w:rPr>
                <w:b/>
                <w:sz w:val="17"/>
              </w:rPr>
              <w:t>Possible consequence</w:t>
            </w:r>
          </w:p>
        </w:tc>
      </w:tr>
      <w:tr>
        <w:tc>
          <w:tcPr>
            <w:tcW w:type="dxa" w:w="3600"/>
            <w:vAlign w:val="center"/>
          </w:tcPr>
          <w:p>
            <w:pPr>
              <w:spacing w:after="0"/>
              <w:jc w:val="left"/>
            </w:pPr>
            <w:r>
              <w:rPr>
                <w:b w:val="0"/>
                <w:sz w:val="17"/>
              </w:rPr>
              <w:t>Visible settling</w:t>
            </w:r>
          </w:p>
        </w:tc>
        <w:tc>
          <w:tcPr>
            <w:tcW w:type="dxa" w:w="6192"/>
            <w:vAlign w:val="center"/>
          </w:tcPr>
          <w:p>
            <w:pPr>
              <w:spacing w:after="0"/>
              <w:jc w:val="left"/>
            </w:pPr>
            <w:r>
              <w:rPr>
                <w:b w:val="0"/>
                <w:sz w:val="17"/>
              </w:rPr>
              <w:t>Uneven dose or concentration during downstream testing</w:t>
            </w:r>
          </w:p>
        </w:tc>
      </w:tr>
      <w:tr>
        <w:tc>
          <w:tcPr>
            <w:tcW w:type="dxa" w:w="3600"/>
            <w:vAlign w:val="center"/>
          </w:tcPr>
          <w:p>
            <w:pPr>
              <w:spacing w:after="0"/>
              <w:jc w:val="left"/>
            </w:pPr>
            <w:r>
              <w:rPr>
                <w:b w:val="0"/>
                <w:sz w:val="17"/>
              </w:rPr>
              <w:t>Aggregation</w:t>
            </w:r>
          </w:p>
        </w:tc>
        <w:tc>
          <w:tcPr>
            <w:tcW w:type="dxa" w:w="6192"/>
            <w:vAlign w:val="center"/>
          </w:tcPr>
          <w:p>
            <w:pPr>
              <w:spacing w:after="0"/>
              <w:jc w:val="left"/>
            </w:pPr>
            <w:r>
              <w:rPr>
                <w:b w:val="0"/>
                <w:sz w:val="17"/>
              </w:rPr>
              <w:t>False particle-size readings and altered magnetic response</w:t>
            </w:r>
          </w:p>
        </w:tc>
      </w:tr>
      <w:tr>
        <w:tc>
          <w:tcPr>
            <w:tcW w:type="dxa" w:w="3600"/>
            <w:vAlign w:val="center"/>
          </w:tcPr>
          <w:p>
            <w:pPr>
              <w:spacing w:after="0"/>
              <w:jc w:val="left"/>
            </w:pPr>
            <w:r>
              <w:rPr>
                <w:b w:val="0"/>
                <w:sz w:val="17"/>
              </w:rPr>
              <w:t>Poor buffer compatibility</w:t>
            </w:r>
          </w:p>
        </w:tc>
        <w:tc>
          <w:tcPr>
            <w:tcW w:type="dxa" w:w="6192"/>
            <w:vAlign w:val="center"/>
          </w:tcPr>
          <w:p>
            <w:pPr>
              <w:spacing w:after="0"/>
              <w:jc w:val="left"/>
            </w:pPr>
            <w:r>
              <w:rPr>
                <w:b w:val="0"/>
                <w:sz w:val="17"/>
              </w:rPr>
              <w:t>Instability in biological or salt-containing media</w:t>
            </w:r>
          </w:p>
        </w:tc>
      </w:tr>
      <w:tr>
        <w:tc>
          <w:tcPr>
            <w:tcW w:type="dxa" w:w="3600"/>
            <w:vAlign w:val="center"/>
          </w:tcPr>
          <w:p>
            <w:pPr>
              <w:spacing w:after="0"/>
              <w:jc w:val="left"/>
            </w:pPr>
            <w:r>
              <w:rPr>
                <w:b w:val="0"/>
                <w:sz w:val="17"/>
              </w:rPr>
              <w:t>Uncontrolled protein adsorption</w:t>
            </w:r>
          </w:p>
        </w:tc>
        <w:tc>
          <w:tcPr>
            <w:tcW w:type="dxa" w:w="6192"/>
            <w:vAlign w:val="center"/>
          </w:tcPr>
          <w:p>
            <w:pPr>
              <w:spacing w:after="0"/>
              <w:jc w:val="left"/>
            </w:pPr>
            <w:r>
              <w:rPr>
                <w:b w:val="0"/>
                <w:sz w:val="17"/>
              </w:rPr>
              <w:t>Variable nano-biointerface behaviour</w:t>
            </w:r>
          </w:p>
        </w:tc>
      </w:tr>
      <w:tr>
        <w:tc>
          <w:tcPr>
            <w:tcW w:type="dxa" w:w="3600"/>
            <w:vAlign w:val="center"/>
          </w:tcPr>
          <w:p>
            <w:pPr>
              <w:spacing w:after="0"/>
              <w:jc w:val="left"/>
            </w:pPr>
            <w:r>
              <w:rPr>
                <w:b w:val="0"/>
                <w:sz w:val="17"/>
              </w:rPr>
              <w:t>No functional surface groups</w:t>
            </w:r>
          </w:p>
        </w:tc>
        <w:tc>
          <w:tcPr>
            <w:tcW w:type="dxa" w:w="6192"/>
            <w:vAlign w:val="center"/>
          </w:tcPr>
          <w:p>
            <w:pPr>
              <w:spacing w:after="0"/>
              <w:jc w:val="left"/>
            </w:pPr>
            <w:r>
              <w:rPr>
                <w:b w:val="0"/>
                <w:sz w:val="17"/>
              </w:rPr>
              <w:t>Difficult ligand attachment or conjugation</w:t>
            </w:r>
          </w:p>
        </w:tc>
      </w:tr>
    </w:tbl>
    <w:p/>
    <w:p>
      <w:pPr>
        <w:pStyle w:val="Heading1"/>
      </w:pPr>
      <w:r>
        <w:t>9. Role of Protoly in This Protocol</w:t>
      </w:r>
    </w:p>
    <w:p>
      <w:pPr>
        <w:spacing w:after="120" w:line="259" w:lineRule="auto"/>
      </w:pPr>
      <w:r>
        <w:rPr>
          <w:sz w:val="21"/>
        </w:rPr>
        <w:t>Protoly acts as the protocol-management layer. It allows the conditioning workflow to be written as a structured sequence rather than a loose lab note. Each batch can record the selected stabilizer, volume, mixing duration, heating condition, waiting period, sonication time, and visual output.</w:t>
      </w:r>
    </w:p>
    <w:p>
      <w:pPr>
        <w:spacing w:after="120" w:line="259" w:lineRule="auto"/>
      </w:pPr>
      <w:r>
        <w:rPr>
          <w:sz w:val="21"/>
        </w:rPr>
        <w:t>This structured record becomes useful when different conditioning agents are compared. For example, citrate-conditioned, dextran-coated, PEG-stabilized, and chitosan-coated batches can be prepared using comparable timing and processing conditions, then evaluated externally for size, charge, magnetic response, and stability.</w:t>
      </w:r>
    </w:p>
    <w:p>
      <w:pPr>
        <w:pStyle w:val="Heading1"/>
      </w:pPr>
      <w:r>
        <w:t>10. Role of NSL Modules</w:t>
      </w:r>
    </w:p>
    <w:tbl>
      <w:tblPr>
        <w:tblStyle w:val="TableGrid"/>
        <w:tblW w:type="auto" w:w="0"/>
        <w:jc w:val="center"/>
        <w:tblLook w:firstColumn="1" w:firstRow="1" w:lastColumn="0" w:lastRow="0" w:noHBand="0" w:noVBand="1" w:val="04A0"/>
      </w:tblPr>
      <w:tblGrid>
        <w:gridCol w:w="5141"/>
        <w:gridCol w:w="5141"/>
      </w:tblGrid>
      <w:tr>
        <w:tc>
          <w:tcPr>
            <w:tcW w:type="dxa" w:w="3024"/>
            <w:vAlign w:val="center"/>
            <w:shd w:fill="D9EAF7"/>
          </w:tcPr>
          <w:p>
            <w:pPr>
              <w:spacing w:after="0"/>
              <w:jc w:val="left"/>
            </w:pPr>
            <w:r>
              <w:rPr>
                <w:b/>
                <w:sz w:val="17"/>
              </w:rPr>
              <w:t>Module</w:t>
            </w:r>
          </w:p>
        </w:tc>
        <w:tc>
          <w:tcPr>
            <w:tcW w:type="dxa" w:w="6768"/>
            <w:vAlign w:val="center"/>
            <w:shd w:fill="D9EAF7"/>
          </w:tcPr>
          <w:p>
            <w:pPr>
              <w:spacing w:after="0"/>
              <w:jc w:val="left"/>
            </w:pPr>
            <w:r>
              <w:rPr>
                <w:b/>
                <w:sz w:val="17"/>
              </w:rPr>
              <w:t>Protocol role</w:t>
            </w:r>
          </w:p>
        </w:tc>
      </w:tr>
      <w:tr>
        <w:tc>
          <w:tcPr>
            <w:tcW w:type="dxa" w:w="3024"/>
            <w:vAlign w:val="center"/>
          </w:tcPr>
          <w:p>
            <w:pPr>
              <w:spacing w:after="0"/>
              <w:jc w:val="left"/>
            </w:pPr>
            <w:r>
              <w:rPr>
                <w:b w:val="0"/>
                <w:sz w:val="17"/>
              </w:rPr>
              <w:t>Sterilization UV</w:t>
            </w:r>
          </w:p>
        </w:tc>
        <w:tc>
          <w:tcPr>
            <w:tcW w:type="dxa" w:w="6768"/>
            <w:vAlign w:val="center"/>
          </w:tcPr>
          <w:p>
            <w:pPr>
              <w:spacing w:after="0"/>
              <w:jc w:val="left"/>
            </w:pPr>
            <w:r>
              <w:rPr>
                <w:b w:val="0"/>
                <w:sz w:val="17"/>
              </w:rPr>
              <w:t>Pre-run chamber preparation</w:t>
            </w:r>
          </w:p>
        </w:tc>
      </w:tr>
      <w:tr>
        <w:tc>
          <w:tcPr>
            <w:tcW w:type="dxa" w:w="3024"/>
            <w:vAlign w:val="center"/>
          </w:tcPr>
          <w:p>
            <w:pPr>
              <w:spacing w:after="0"/>
              <w:jc w:val="left"/>
            </w:pPr>
            <w:r>
              <w:rPr>
                <w:b w:val="0"/>
                <w:sz w:val="17"/>
              </w:rPr>
              <w:t>Reservoir Dispense</w:t>
            </w:r>
          </w:p>
        </w:tc>
        <w:tc>
          <w:tcPr>
            <w:tcW w:type="dxa" w:w="6768"/>
            <w:vAlign w:val="center"/>
          </w:tcPr>
          <w:p>
            <w:pPr>
              <w:spacing w:after="0"/>
              <w:jc w:val="left"/>
            </w:pPr>
            <w:r>
              <w:rPr>
                <w:b w:val="0"/>
                <w:sz w:val="17"/>
              </w:rPr>
              <w:t>Addition of buffer, water, stabilizer, or coating solution</w:t>
            </w:r>
          </w:p>
        </w:tc>
      </w:tr>
      <w:tr>
        <w:tc>
          <w:tcPr>
            <w:tcW w:type="dxa" w:w="3024"/>
            <w:vAlign w:val="center"/>
          </w:tcPr>
          <w:p>
            <w:pPr>
              <w:spacing w:after="0"/>
              <w:jc w:val="left"/>
            </w:pPr>
            <w:r>
              <w:rPr>
                <w:b w:val="0"/>
                <w:sz w:val="17"/>
              </w:rPr>
              <w:t>Stirrer</w:t>
            </w:r>
          </w:p>
        </w:tc>
        <w:tc>
          <w:tcPr>
            <w:tcW w:type="dxa" w:w="6768"/>
            <w:vAlign w:val="center"/>
          </w:tcPr>
          <w:p>
            <w:pPr>
              <w:spacing w:after="0"/>
              <w:jc w:val="left"/>
            </w:pPr>
            <w:r>
              <w:rPr>
                <w:b w:val="0"/>
                <w:sz w:val="17"/>
              </w:rPr>
              <w:t>Maintains particle suspension during conditioning</w:t>
            </w:r>
          </w:p>
        </w:tc>
      </w:tr>
      <w:tr>
        <w:tc>
          <w:tcPr>
            <w:tcW w:type="dxa" w:w="3024"/>
            <w:vAlign w:val="center"/>
          </w:tcPr>
          <w:p>
            <w:pPr>
              <w:spacing w:after="0"/>
              <w:jc w:val="left"/>
            </w:pPr>
            <w:r>
              <w:rPr>
                <w:b w:val="0"/>
                <w:sz w:val="17"/>
              </w:rPr>
              <w:t>Heater</w:t>
            </w:r>
          </w:p>
        </w:tc>
        <w:tc>
          <w:tcPr>
            <w:tcW w:type="dxa" w:w="6768"/>
            <w:vAlign w:val="center"/>
          </w:tcPr>
          <w:p>
            <w:pPr>
              <w:spacing w:after="0"/>
              <w:jc w:val="left"/>
            </w:pPr>
            <w:r>
              <w:rPr>
                <w:b w:val="0"/>
                <w:sz w:val="17"/>
              </w:rPr>
              <w:t>Mild thermal support when suitable for coating interaction</w:t>
            </w:r>
          </w:p>
        </w:tc>
      </w:tr>
      <w:tr>
        <w:tc>
          <w:tcPr>
            <w:tcW w:type="dxa" w:w="3024"/>
            <w:vAlign w:val="center"/>
          </w:tcPr>
          <w:p>
            <w:pPr>
              <w:spacing w:after="0"/>
              <w:jc w:val="left"/>
            </w:pPr>
            <w:r>
              <w:rPr>
                <w:b w:val="0"/>
                <w:sz w:val="17"/>
              </w:rPr>
              <w:t>Wait</w:t>
            </w:r>
          </w:p>
        </w:tc>
        <w:tc>
          <w:tcPr>
            <w:tcW w:type="dxa" w:w="6768"/>
            <w:vAlign w:val="center"/>
          </w:tcPr>
          <w:p>
            <w:pPr>
              <w:spacing w:after="0"/>
              <w:jc w:val="left"/>
            </w:pPr>
            <w:r>
              <w:rPr>
                <w:b w:val="0"/>
                <w:sz w:val="17"/>
              </w:rPr>
              <w:t>Allows surface interaction, adsorption, and dispersion stabilization</w:t>
            </w:r>
          </w:p>
        </w:tc>
      </w:tr>
      <w:tr>
        <w:tc>
          <w:tcPr>
            <w:tcW w:type="dxa" w:w="3024"/>
            <w:vAlign w:val="center"/>
          </w:tcPr>
          <w:p>
            <w:pPr>
              <w:spacing w:after="0"/>
              <w:jc w:val="left"/>
            </w:pPr>
            <w:r>
              <w:rPr>
                <w:b w:val="0"/>
                <w:sz w:val="17"/>
              </w:rPr>
              <w:t>Sonicator</w:t>
            </w:r>
          </w:p>
        </w:tc>
        <w:tc>
          <w:tcPr>
            <w:tcW w:type="dxa" w:w="6768"/>
            <w:vAlign w:val="center"/>
          </w:tcPr>
          <w:p>
            <w:pPr>
              <w:spacing w:after="0"/>
              <w:jc w:val="left"/>
            </w:pPr>
            <w:r>
              <w:rPr>
                <w:b w:val="0"/>
                <w:sz w:val="17"/>
              </w:rPr>
              <w:t>Optional de-aggregation and dispersion improvement</w:t>
            </w:r>
          </w:p>
        </w:tc>
      </w:tr>
      <w:tr>
        <w:tc>
          <w:tcPr>
            <w:tcW w:type="dxa" w:w="3024"/>
            <w:vAlign w:val="center"/>
          </w:tcPr>
          <w:p>
            <w:pPr>
              <w:spacing w:after="0"/>
              <w:jc w:val="left"/>
            </w:pPr>
            <w:r>
              <w:rPr>
                <w:b w:val="0"/>
                <w:sz w:val="17"/>
              </w:rPr>
              <w:t>Sonicator Bath Heater</w:t>
            </w:r>
          </w:p>
        </w:tc>
        <w:tc>
          <w:tcPr>
            <w:tcW w:type="dxa" w:w="6768"/>
            <w:vAlign w:val="center"/>
          </w:tcPr>
          <w:p>
            <w:pPr>
              <w:spacing w:after="0"/>
              <w:jc w:val="left"/>
            </w:pPr>
            <w:r>
              <w:rPr>
                <w:b w:val="0"/>
                <w:sz w:val="17"/>
              </w:rPr>
              <w:t>Optional temperature support during sonication</w:t>
            </w:r>
          </w:p>
        </w:tc>
      </w:tr>
      <w:tr>
        <w:tc>
          <w:tcPr>
            <w:tcW w:type="dxa" w:w="3024"/>
            <w:vAlign w:val="center"/>
          </w:tcPr>
          <w:p>
            <w:pPr>
              <w:spacing w:after="0"/>
              <w:jc w:val="left"/>
            </w:pPr>
            <w:r>
              <w:rPr>
                <w:b w:val="0"/>
                <w:sz w:val="17"/>
              </w:rPr>
              <w:t>LED Illumination</w:t>
            </w:r>
          </w:p>
        </w:tc>
        <w:tc>
          <w:tcPr>
            <w:tcW w:type="dxa" w:w="6768"/>
            <w:vAlign w:val="center"/>
          </w:tcPr>
          <w:p>
            <w:pPr>
              <w:spacing w:after="0"/>
              <w:jc w:val="left"/>
            </w:pPr>
            <w:r>
              <w:rPr>
                <w:b w:val="0"/>
                <w:sz w:val="17"/>
              </w:rPr>
              <w:t>White light support for visual documentation</w:t>
            </w:r>
          </w:p>
        </w:tc>
      </w:tr>
      <w:tr>
        <w:tc>
          <w:tcPr>
            <w:tcW w:type="dxa" w:w="3024"/>
            <w:vAlign w:val="center"/>
          </w:tcPr>
          <w:p>
            <w:pPr>
              <w:spacing w:after="0"/>
              <w:jc w:val="left"/>
            </w:pPr>
            <w:r>
              <w:rPr>
                <w:b w:val="0"/>
                <w:sz w:val="17"/>
              </w:rPr>
              <w:t>UV / IR Illumination</w:t>
            </w:r>
          </w:p>
        </w:tc>
        <w:tc>
          <w:tcPr>
            <w:tcW w:type="dxa" w:w="6768"/>
            <w:vAlign w:val="center"/>
          </w:tcPr>
          <w:p>
            <w:pPr>
              <w:spacing w:after="0"/>
              <w:jc w:val="left"/>
            </w:pPr>
            <w:r>
              <w:rPr>
                <w:b w:val="0"/>
                <w:sz w:val="17"/>
              </w:rPr>
              <w:t>Chamber illumination support where useful for camera recording</w:t>
            </w:r>
          </w:p>
        </w:tc>
      </w:tr>
      <w:tr>
        <w:tc>
          <w:tcPr>
            <w:tcW w:type="dxa" w:w="3024"/>
            <w:vAlign w:val="center"/>
          </w:tcPr>
          <w:p>
            <w:pPr>
              <w:spacing w:after="0"/>
              <w:jc w:val="left"/>
            </w:pPr>
            <w:r>
              <w:rPr>
                <w:b w:val="0"/>
                <w:sz w:val="17"/>
              </w:rPr>
              <w:t>Camera</w:t>
            </w:r>
          </w:p>
        </w:tc>
        <w:tc>
          <w:tcPr>
            <w:tcW w:type="dxa" w:w="6768"/>
            <w:vAlign w:val="center"/>
          </w:tcPr>
          <w:p>
            <w:pPr>
              <w:spacing w:after="0"/>
              <w:jc w:val="left"/>
            </w:pPr>
            <w:r>
              <w:rPr>
                <w:b w:val="0"/>
                <w:sz w:val="17"/>
              </w:rPr>
              <w:t>Visual record of dispersion colour, settling, and aggregation</w:t>
            </w:r>
          </w:p>
        </w:tc>
      </w:tr>
      <w:tr>
        <w:tc>
          <w:tcPr>
            <w:tcW w:type="dxa" w:w="3024"/>
            <w:vAlign w:val="center"/>
          </w:tcPr>
          <w:p>
            <w:pPr>
              <w:spacing w:after="0"/>
              <w:jc w:val="left"/>
            </w:pPr>
            <w:r>
              <w:rPr>
                <w:b w:val="0"/>
                <w:sz w:val="17"/>
              </w:rPr>
              <w:t>Exhaust</w:t>
            </w:r>
          </w:p>
        </w:tc>
        <w:tc>
          <w:tcPr>
            <w:tcW w:type="dxa" w:w="6768"/>
            <w:vAlign w:val="center"/>
          </w:tcPr>
          <w:p>
            <w:pPr>
              <w:spacing w:after="0"/>
              <w:jc w:val="left"/>
            </w:pPr>
            <w:r>
              <w:rPr>
                <w:b w:val="0"/>
                <w:sz w:val="17"/>
              </w:rPr>
              <w:t>Airflow support when conditioning chemicals require it</w:t>
            </w:r>
          </w:p>
        </w:tc>
      </w:tr>
      <w:tr>
        <w:tc>
          <w:tcPr>
            <w:tcW w:type="dxa" w:w="3024"/>
            <w:vAlign w:val="center"/>
          </w:tcPr>
          <w:p>
            <w:pPr>
              <w:spacing w:after="0"/>
              <w:jc w:val="left"/>
            </w:pPr>
            <w:r>
              <w:rPr>
                <w:b w:val="0"/>
                <w:sz w:val="17"/>
              </w:rPr>
              <w:t>Environment Sensors</w:t>
            </w:r>
          </w:p>
        </w:tc>
        <w:tc>
          <w:tcPr>
            <w:tcW w:type="dxa" w:w="6768"/>
            <w:vAlign w:val="center"/>
          </w:tcPr>
          <w:p>
            <w:pPr>
              <w:spacing w:after="0"/>
              <w:jc w:val="left"/>
            </w:pPr>
            <w:r>
              <w:rPr>
                <w:b w:val="0"/>
                <w:sz w:val="17"/>
              </w:rPr>
              <w:t>Ambient chamber condition record</w:t>
            </w:r>
          </w:p>
        </w:tc>
      </w:tr>
    </w:tbl>
    <w:p/>
    <w:p>
      <w:pPr>
        <w:spacing w:after="120" w:line="259" w:lineRule="auto"/>
      </w:pPr>
      <w:r>
        <w:rPr>
          <w:sz w:val="21"/>
        </w:rPr>
        <w:t>These modules support preparation and documentation. They do not replace external analytical instruments such as DLS, zeta potential analyzer, FTIR, XRD, electron microscopy, or magnetic characterization systems.</w:t>
      </w:r>
    </w:p>
    <w:p>
      <w:pPr>
        <w:pStyle w:val="Heading1"/>
      </w:pPr>
      <w:r>
        <w:t>11. Surface-Conditioning Options</w:t>
      </w:r>
    </w:p>
    <w:tbl>
      <w:tblPr>
        <w:tblStyle w:val="TableGrid"/>
        <w:tblW w:type="auto" w:w="0"/>
        <w:jc w:val="center"/>
        <w:tblLook w:firstColumn="1" w:firstRow="1" w:lastColumn="0" w:lastRow="0" w:noHBand="0" w:noVBand="1" w:val="04A0"/>
      </w:tblPr>
      <w:tblGrid>
        <w:gridCol w:w="3427"/>
        <w:gridCol w:w="3427"/>
        <w:gridCol w:w="3427"/>
      </w:tblGrid>
      <w:tr>
        <w:tc>
          <w:tcPr>
            <w:tcW w:type="dxa" w:w="2592"/>
            <w:vAlign w:val="center"/>
            <w:shd w:fill="D9EAF7"/>
          </w:tcPr>
          <w:p>
            <w:pPr>
              <w:spacing w:after="0"/>
              <w:jc w:val="left"/>
            </w:pPr>
            <w:r>
              <w:rPr>
                <w:b/>
                <w:sz w:val="17"/>
              </w:rPr>
              <w:t>Conditioning agent</w:t>
            </w:r>
          </w:p>
        </w:tc>
        <w:tc>
          <w:tcPr>
            <w:tcW w:type="dxa" w:w="3888"/>
            <w:vAlign w:val="center"/>
            <w:shd w:fill="D9EAF7"/>
          </w:tcPr>
          <w:p>
            <w:pPr>
              <w:spacing w:after="0"/>
              <w:jc w:val="left"/>
            </w:pPr>
            <w:r>
              <w:rPr>
                <w:b/>
                <w:sz w:val="17"/>
              </w:rPr>
              <w:t>Main purpose</w:t>
            </w:r>
          </w:p>
        </w:tc>
        <w:tc>
          <w:tcPr>
            <w:tcW w:type="dxa" w:w="3312"/>
            <w:vAlign w:val="center"/>
            <w:shd w:fill="D9EAF7"/>
          </w:tcPr>
          <w:p>
            <w:pPr>
              <w:spacing w:after="0"/>
              <w:jc w:val="left"/>
            </w:pPr>
            <w:r>
              <w:rPr>
                <w:b/>
                <w:sz w:val="17"/>
              </w:rPr>
              <w:t>Possible comment</w:t>
            </w:r>
          </w:p>
        </w:tc>
      </w:tr>
      <w:tr>
        <w:tc>
          <w:tcPr>
            <w:tcW w:type="dxa" w:w="2592"/>
            <w:vAlign w:val="center"/>
          </w:tcPr>
          <w:p>
            <w:pPr>
              <w:spacing w:after="0"/>
              <w:jc w:val="left"/>
            </w:pPr>
            <w:r>
              <w:rPr>
                <w:b w:val="0"/>
                <w:sz w:val="17"/>
              </w:rPr>
              <w:t>Citrate</w:t>
            </w:r>
          </w:p>
        </w:tc>
        <w:tc>
          <w:tcPr>
            <w:tcW w:type="dxa" w:w="3888"/>
            <w:vAlign w:val="center"/>
          </w:tcPr>
          <w:p>
            <w:pPr>
              <w:spacing w:after="0"/>
              <w:jc w:val="left"/>
            </w:pPr>
            <w:r>
              <w:rPr>
                <w:b w:val="0"/>
                <w:sz w:val="17"/>
              </w:rPr>
              <w:t>Electrostatic stabilization</w:t>
            </w:r>
          </w:p>
        </w:tc>
        <w:tc>
          <w:tcPr>
            <w:tcW w:type="dxa" w:w="3312"/>
            <w:vAlign w:val="center"/>
          </w:tcPr>
          <w:p>
            <w:pPr>
              <w:spacing w:after="0"/>
              <w:jc w:val="left"/>
            </w:pPr>
            <w:r>
              <w:rPr>
                <w:b w:val="0"/>
                <w:sz w:val="17"/>
              </w:rPr>
              <w:t>Useful for simple aqueous dispersion models</w:t>
            </w:r>
          </w:p>
        </w:tc>
      </w:tr>
      <w:tr>
        <w:tc>
          <w:tcPr>
            <w:tcW w:type="dxa" w:w="2592"/>
            <w:vAlign w:val="center"/>
          </w:tcPr>
          <w:p>
            <w:pPr>
              <w:spacing w:after="0"/>
              <w:jc w:val="left"/>
            </w:pPr>
            <w:r>
              <w:rPr>
                <w:b w:val="0"/>
                <w:sz w:val="17"/>
              </w:rPr>
              <w:t>Dextran</w:t>
            </w:r>
          </w:p>
        </w:tc>
        <w:tc>
          <w:tcPr>
            <w:tcW w:type="dxa" w:w="3888"/>
            <w:vAlign w:val="center"/>
          </w:tcPr>
          <w:p>
            <w:pPr>
              <w:spacing w:after="0"/>
              <w:jc w:val="left"/>
            </w:pPr>
            <w:r>
              <w:rPr>
                <w:b w:val="0"/>
                <w:sz w:val="17"/>
              </w:rPr>
              <w:t>Steric stabilization and bio-compatible coating model</w:t>
            </w:r>
          </w:p>
        </w:tc>
        <w:tc>
          <w:tcPr>
            <w:tcW w:type="dxa" w:w="3312"/>
            <w:vAlign w:val="center"/>
          </w:tcPr>
          <w:p>
            <w:pPr>
              <w:spacing w:after="0"/>
              <w:jc w:val="left"/>
            </w:pPr>
            <w:r>
              <w:rPr>
                <w:b w:val="0"/>
                <w:sz w:val="17"/>
              </w:rPr>
              <w:t>Commonly discussed for iron oxide biomedical research</w:t>
            </w:r>
          </w:p>
        </w:tc>
      </w:tr>
      <w:tr>
        <w:tc>
          <w:tcPr>
            <w:tcW w:type="dxa" w:w="2592"/>
            <w:vAlign w:val="center"/>
          </w:tcPr>
          <w:p>
            <w:pPr>
              <w:spacing w:after="0"/>
              <w:jc w:val="left"/>
            </w:pPr>
            <w:r>
              <w:rPr>
                <w:b w:val="0"/>
                <w:sz w:val="17"/>
              </w:rPr>
              <w:t>PEG-containing stabilizer</w:t>
            </w:r>
          </w:p>
        </w:tc>
        <w:tc>
          <w:tcPr>
            <w:tcW w:type="dxa" w:w="3888"/>
            <w:vAlign w:val="center"/>
          </w:tcPr>
          <w:p>
            <w:pPr>
              <w:spacing w:after="0"/>
              <w:jc w:val="left"/>
            </w:pPr>
            <w:r>
              <w:rPr>
                <w:b w:val="0"/>
                <w:sz w:val="17"/>
              </w:rPr>
              <w:t>Reduced aggregation and improved medium compatibility</w:t>
            </w:r>
          </w:p>
        </w:tc>
        <w:tc>
          <w:tcPr>
            <w:tcW w:type="dxa" w:w="3312"/>
            <w:vAlign w:val="center"/>
          </w:tcPr>
          <w:p>
            <w:pPr>
              <w:spacing w:after="0"/>
              <w:jc w:val="left"/>
            </w:pPr>
            <w:r>
              <w:rPr>
                <w:b w:val="0"/>
                <w:sz w:val="17"/>
              </w:rPr>
              <w:t>Useful for advanced formulation concepts</w:t>
            </w:r>
          </w:p>
        </w:tc>
      </w:tr>
      <w:tr>
        <w:tc>
          <w:tcPr>
            <w:tcW w:type="dxa" w:w="2592"/>
            <w:vAlign w:val="center"/>
          </w:tcPr>
          <w:p>
            <w:pPr>
              <w:spacing w:after="0"/>
              <w:jc w:val="left"/>
            </w:pPr>
            <w:r>
              <w:rPr>
                <w:b w:val="0"/>
                <w:sz w:val="17"/>
              </w:rPr>
              <w:t>Chitosan</w:t>
            </w:r>
          </w:p>
        </w:tc>
        <w:tc>
          <w:tcPr>
            <w:tcW w:type="dxa" w:w="3888"/>
            <w:vAlign w:val="center"/>
          </w:tcPr>
          <w:p>
            <w:pPr>
              <w:spacing w:after="0"/>
              <w:jc w:val="left"/>
            </w:pPr>
            <w:r>
              <w:rPr>
                <w:b w:val="0"/>
                <w:sz w:val="17"/>
              </w:rPr>
              <w:t>Positive surface modification and biopolymer coating</w:t>
            </w:r>
          </w:p>
        </w:tc>
        <w:tc>
          <w:tcPr>
            <w:tcW w:type="dxa" w:w="3312"/>
            <w:vAlign w:val="center"/>
          </w:tcPr>
          <w:p>
            <w:pPr>
              <w:spacing w:after="0"/>
              <w:jc w:val="left"/>
            </w:pPr>
            <w:r>
              <w:rPr>
                <w:b w:val="0"/>
                <w:sz w:val="17"/>
              </w:rPr>
              <w:t>Can link with polymeric drug-delivery models</w:t>
            </w:r>
          </w:p>
        </w:tc>
      </w:tr>
      <w:tr>
        <w:tc>
          <w:tcPr>
            <w:tcW w:type="dxa" w:w="2592"/>
            <w:vAlign w:val="center"/>
          </w:tcPr>
          <w:p>
            <w:pPr>
              <w:spacing w:after="0"/>
              <w:jc w:val="left"/>
            </w:pPr>
            <w:r>
              <w:rPr>
                <w:b w:val="0"/>
                <w:sz w:val="17"/>
              </w:rPr>
              <w:t>PVA</w:t>
            </w:r>
          </w:p>
        </w:tc>
        <w:tc>
          <w:tcPr>
            <w:tcW w:type="dxa" w:w="3888"/>
            <w:vAlign w:val="center"/>
          </w:tcPr>
          <w:p>
            <w:pPr>
              <w:spacing w:after="0"/>
              <w:jc w:val="left"/>
            </w:pPr>
            <w:r>
              <w:rPr>
                <w:b w:val="0"/>
                <w:sz w:val="17"/>
              </w:rPr>
              <w:t>Dispersion stabilization and coating support</w:t>
            </w:r>
          </w:p>
        </w:tc>
        <w:tc>
          <w:tcPr>
            <w:tcW w:type="dxa" w:w="3312"/>
            <w:vAlign w:val="center"/>
          </w:tcPr>
          <w:p>
            <w:pPr>
              <w:spacing w:after="0"/>
              <w:jc w:val="left"/>
            </w:pPr>
            <w:r>
              <w:rPr>
                <w:b w:val="0"/>
                <w:sz w:val="17"/>
              </w:rPr>
              <w:t>Useful in formulation screening</w:t>
            </w:r>
          </w:p>
        </w:tc>
      </w:tr>
      <w:tr>
        <w:tc>
          <w:tcPr>
            <w:tcW w:type="dxa" w:w="2592"/>
            <w:vAlign w:val="center"/>
          </w:tcPr>
          <w:p>
            <w:pPr>
              <w:spacing w:after="0"/>
              <w:jc w:val="left"/>
            </w:pPr>
            <w:r>
              <w:rPr>
                <w:b w:val="0"/>
                <w:sz w:val="17"/>
              </w:rPr>
              <w:t>Albumin or protein model</w:t>
            </w:r>
          </w:p>
        </w:tc>
        <w:tc>
          <w:tcPr>
            <w:tcW w:type="dxa" w:w="3888"/>
            <w:vAlign w:val="center"/>
          </w:tcPr>
          <w:p>
            <w:pPr>
              <w:spacing w:after="0"/>
              <w:jc w:val="left"/>
            </w:pPr>
            <w:r>
              <w:rPr>
                <w:b w:val="0"/>
                <w:sz w:val="17"/>
              </w:rPr>
              <w:t>Nano-biointerface conditioning</w:t>
            </w:r>
          </w:p>
        </w:tc>
        <w:tc>
          <w:tcPr>
            <w:tcW w:type="dxa" w:w="3312"/>
            <w:vAlign w:val="center"/>
          </w:tcPr>
          <w:p>
            <w:pPr>
              <w:spacing w:after="0"/>
              <w:jc w:val="left"/>
            </w:pPr>
            <w:r>
              <w:rPr>
                <w:b w:val="0"/>
                <w:sz w:val="17"/>
              </w:rPr>
              <w:t>Requires careful offline characterization</w:t>
            </w:r>
          </w:p>
        </w:tc>
      </w:tr>
      <w:tr>
        <w:tc>
          <w:tcPr>
            <w:tcW w:type="dxa" w:w="2592"/>
            <w:vAlign w:val="center"/>
          </w:tcPr>
          <w:p>
            <w:pPr>
              <w:spacing w:after="0"/>
              <w:jc w:val="left"/>
            </w:pPr>
            <w:r>
              <w:rPr>
                <w:b w:val="0"/>
                <w:sz w:val="17"/>
              </w:rPr>
              <w:t>Folic-acid compatible linker system</w:t>
            </w:r>
          </w:p>
        </w:tc>
        <w:tc>
          <w:tcPr>
            <w:tcW w:type="dxa" w:w="3888"/>
            <w:vAlign w:val="center"/>
          </w:tcPr>
          <w:p>
            <w:pPr>
              <w:spacing w:after="0"/>
              <w:jc w:val="left"/>
            </w:pPr>
            <w:r>
              <w:rPr>
                <w:b w:val="0"/>
                <w:sz w:val="17"/>
              </w:rPr>
              <w:t>Targeting-model preparation</w:t>
            </w:r>
          </w:p>
        </w:tc>
        <w:tc>
          <w:tcPr>
            <w:tcW w:type="dxa" w:w="3312"/>
            <w:vAlign w:val="center"/>
          </w:tcPr>
          <w:p>
            <w:pPr>
              <w:spacing w:after="0"/>
              <w:jc w:val="left"/>
            </w:pPr>
            <w:r>
              <w:rPr>
                <w:b w:val="0"/>
                <w:sz w:val="17"/>
              </w:rPr>
              <w:t>Should be treated as downstream functionalization</w:t>
            </w:r>
          </w:p>
        </w:tc>
      </w:tr>
    </w:tbl>
    <w:p/>
    <w:p>
      <w:pPr>
        <w:pStyle w:val="Heading1"/>
      </w:pPr>
      <w:r>
        <w:t>12. Key Variables to Control</w:t>
      </w:r>
    </w:p>
    <w:tbl>
      <w:tblPr>
        <w:tblStyle w:val="TableGrid"/>
        <w:tblW w:type="auto" w:w="0"/>
        <w:jc w:val="center"/>
        <w:tblLook w:firstColumn="1" w:firstRow="1" w:lastColumn="0" w:lastRow="0" w:noHBand="0" w:noVBand="1" w:val="04A0"/>
      </w:tblPr>
      <w:tblGrid>
        <w:gridCol w:w="5141"/>
        <w:gridCol w:w="5141"/>
      </w:tblGrid>
      <w:tr>
        <w:tc>
          <w:tcPr>
            <w:tcW w:type="dxa" w:w="3168"/>
            <w:vAlign w:val="center"/>
            <w:shd w:fill="D9EAF7"/>
          </w:tcPr>
          <w:p>
            <w:pPr>
              <w:spacing w:after="0"/>
              <w:jc w:val="left"/>
            </w:pPr>
            <w:r>
              <w:rPr>
                <w:b/>
                <w:sz w:val="17"/>
              </w:rPr>
              <w:t>Variable</w:t>
            </w:r>
          </w:p>
        </w:tc>
        <w:tc>
          <w:tcPr>
            <w:tcW w:type="dxa" w:w="6624"/>
            <w:vAlign w:val="center"/>
            <w:shd w:fill="D9EAF7"/>
          </w:tcPr>
          <w:p>
            <w:pPr>
              <w:spacing w:after="0"/>
              <w:jc w:val="left"/>
            </w:pPr>
            <w:r>
              <w:rPr>
                <w:b/>
                <w:sz w:val="17"/>
              </w:rPr>
              <w:t>Why it matters</w:t>
            </w:r>
          </w:p>
        </w:tc>
      </w:tr>
      <w:tr>
        <w:tc>
          <w:tcPr>
            <w:tcW w:type="dxa" w:w="3168"/>
            <w:vAlign w:val="center"/>
          </w:tcPr>
          <w:p>
            <w:pPr>
              <w:spacing w:after="0"/>
              <w:jc w:val="left"/>
            </w:pPr>
            <w:r>
              <w:rPr>
                <w:b w:val="0"/>
                <w:sz w:val="17"/>
              </w:rPr>
              <w:t>Nanoparticle concentration</w:t>
            </w:r>
          </w:p>
        </w:tc>
        <w:tc>
          <w:tcPr>
            <w:tcW w:type="dxa" w:w="6624"/>
            <w:vAlign w:val="center"/>
          </w:tcPr>
          <w:p>
            <w:pPr>
              <w:spacing w:after="0"/>
              <w:jc w:val="left"/>
            </w:pPr>
            <w:r>
              <w:rPr>
                <w:b w:val="0"/>
                <w:sz w:val="17"/>
              </w:rPr>
              <w:t>Affects aggregation, sedimentation, and coating efficiency</w:t>
            </w:r>
          </w:p>
        </w:tc>
      </w:tr>
      <w:tr>
        <w:tc>
          <w:tcPr>
            <w:tcW w:type="dxa" w:w="3168"/>
            <w:vAlign w:val="center"/>
          </w:tcPr>
          <w:p>
            <w:pPr>
              <w:spacing w:after="0"/>
              <w:jc w:val="left"/>
            </w:pPr>
            <w:r>
              <w:rPr>
                <w:b w:val="0"/>
                <w:sz w:val="17"/>
              </w:rPr>
              <w:t>Dispersion medium</w:t>
            </w:r>
          </w:p>
        </w:tc>
        <w:tc>
          <w:tcPr>
            <w:tcW w:type="dxa" w:w="6624"/>
            <w:vAlign w:val="center"/>
          </w:tcPr>
          <w:p>
            <w:pPr>
              <w:spacing w:after="0"/>
              <w:jc w:val="left"/>
            </w:pPr>
            <w:r>
              <w:rPr>
                <w:b w:val="0"/>
                <w:sz w:val="17"/>
              </w:rPr>
              <w:t>Water, buffer, and salt level influence colloidal stability</w:t>
            </w:r>
          </w:p>
        </w:tc>
      </w:tr>
      <w:tr>
        <w:tc>
          <w:tcPr>
            <w:tcW w:type="dxa" w:w="3168"/>
            <w:vAlign w:val="center"/>
          </w:tcPr>
          <w:p>
            <w:pPr>
              <w:spacing w:after="0"/>
              <w:jc w:val="left"/>
            </w:pPr>
            <w:r>
              <w:rPr>
                <w:b w:val="0"/>
                <w:sz w:val="17"/>
              </w:rPr>
              <w:t>Conditioning-agent concentration</w:t>
            </w:r>
          </w:p>
        </w:tc>
        <w:tc>
          <w:tcPr>
            <w:tcW w:type="dxa" w:w="6624"/>
            <w:vAlign w:val="center"/>
          </w:tcPr>
          <w:p>
            <w:pPr>
              <w:spacing w:after="0"/>
              <w:jc w:val="left"/>
            </w:pPr>
            <w:r>
              <w:rPr>
                <w:b w:val="0"/>
                <w:sz w:val="17"/>
              </w:rPr>
              <w:t>Too little may be ineffective; too much may require removal</w:t>
            </w:r>
          </w:p>
        </w:tc>
      </w:tr>
      <w:tr>
        <w:tc>
          <w:tcPr>
            <w:tcW w:type="dxa" w:w="3168"/>
            <w:vAlign w:val="center"/>
          </w:tcPr>
          <w:p>
            <w:pPr>
              <w:spacing w:after="0"/>
              <w:jc w:val="left"/>
            </w:pPr>
            <w:r>
              <w:rPr>
                <w:b w:val="0"/>
                <w:sz w:val="17"/>
              </w:rPr>
              <w:t>Addition sequence</w:t>
            </w:r>
          </w:p>
        </w:tc>
        <w:tc>
          <w:tcPr>
            <w:tcW w:type="dxa" w:w="6624"/>
            <w:vAlign w:val="center"/>
          </w:tcPr>
          <w:p>
            <w:pPr>
              <w:spacing w:after="0"/>
              <w:jc w:val="left"/>
            </w:pPr>
            <w:r>
              <w:rPr>
                <w:b w:val="0"/>
                <w:sz w:val="17"/>
              </w:rPr>
              <w:t>Can affect how coating molecules contact the surface</w:t>
            </w:r>
          </w:p>
        </w:tc>
      </w:tr>
      <w:tr>
        <w:tc>
          <w:tcPr>
            <w:tcW w:type="dxa" w:w="3168"/>
            <w:vAlign w:val="center"/>
          </w:tcPr>
          <w:p>
            <w:pPr>
              <w:spacing w:after="0"/>
              <w:jc w:val="left"/>
            </w:pPr>
            <w:r>
              <w:rPr>
                <w:b w:val="0"/>
                <w:sz w:val="17"/>
              </w:rPr>
              <w:t>Stirring speed</w:t>
            </w:r>
          </w:p>
        </w:tc>
        <w:tc>
          <w:tcPr>
            <w:tcW w:type="dxa" w:w="6624"/>
            <w:vAlign w:val="center"/>
          </w:tcPr>
          <w:p>
            <w:pPr>
              <w:spacing w:after="0"/>
              <w:jc w:val="left"/>
            </w:pPr>
            <w:r>
              <w:rPr>
                <w:b w:val="0"/>
                <w:sz w:val="17"/>
              </w:rPr>
              <w:t>Controls dispersion but may introduce bubbles or instability</w:t>
            </w:r>
          </w:p>
        </w:tc>
      </w:tr>
      <w:tr>
        <w:tc>
          <w:tcPr>
            <w:tcW w:type="dxa" w:w="3168"/>
            <w:vAlign w:val="center"/>
          </w:tcPr>
          <w:p>
            <w:pPr>
              <w:spacing w:after="0"/>
              <w:jc w:val="left"/>
            </w:pPr>
            <w:r>
              <w:rPr>
                <w:b w:val="0"/>
                <w:sz w:val="17"/>
              </w:rPr>
              <w:t>Heating temperature</w:t>
            </w:r>
          </w:p>
        </w:tc>
        <w:tc>
          <w:tcPr>
            <w:tcW w:type="dxa" w:w="6624"/>
            <w:vAlign w:val="center"/>
          </w:tcPr>
          <w:p>
            <w:pPr>
              <w:spacing w:after="0"/>
              <w:jc w:val="left"/>
            </w:pPr>
            <w:r>
              <w:rPr>
                <w:b w:val="0"/>
                <w:sz w:val="17"/>
              </w:rPr>
              <w:t>May support coating interaction but can damage sensitive agents</w:t>
            </w:r>
          </w:p>
        </w:tc>
      </w:tr>
      <w:tr>
        <w:tc>
          <w:tcPr>
            <w:tcW w:type="dxa" w:w="3168"/>
            <w:vAlign w:val="center"/>
          </w:tcPr>
          <w:p>
            <w:pPr>
              <w:spacing w:after="0"/>
              <w:jc w:val="left"/>
            </w:pPr>
            <w:r>
              <w:rPr>
                <w:b w:val="0"/>
                <w:sz w:val="17"/>
              </w:rPr>
              <w:t>Sonication time</w:t>
            </w:r>
          </w:p>
        </w:tc>
        <w:tc>
          <w:tcPr>
            <w:tcW w:type="dxa" w:w="6624"/>
            <w:vAlign w:val="center"/>
          </w:tcPr>
          <w:p>
            <w:pPr>
              <w:spacing w:after="0"/>
              <w:jc w:val="left"/>
            </w:pPr>
            <w:r>
              <w:rPr>
                <w:b w:val="0"/>
                <w:sz w:val="17"/>
              </w:rPr>
              <w:t>Improves dispersion but may cause heating or surface disruption</w:t>
            </w:r>
          </w:p>
        </w:tc>
      </w:tr>
      <w:tr>
        <w:tc>
          <w:tcPr>
            <w:tcW w:type="dxa" w:w="3168"/>
            <w:vAlign w:val="center"/>
          </w:tcPr>
          <w:p>
            <w:pPr>
              <w:spacing w:after="0"/>
              <w:jc w:val="left"/>
            </w:pPr>
            <w:r>
              <w:rPr>
                <w:b w:val="0"/>
                <w:sz w:val="17"/>
              </w:rPr>
              <w:t>Stabilization period</w:t>
            </w:r>
          </w:p>
        </w:tc>
        <w:tc>
          <w:tcPr>
            <w:tcW w:type="dxa" w:w="6624"/>
            <w:vAlign w:val="center"/>
          </w:tcPr>
          <w:p>
            <w:pPr>
              <w:spacing w:after="0"/>
              <w:jc w:val="left"/>
            </w:pPr>
            <w:r>
              <w:rPr>
                <w:b w:val="0"/>
                <w:sz w:val="17"/>
              </w:rPr>
              <w:t>Shows whether dispersion remains stable after processing</w:t>
            </w:r>
          </w:p>
        </w:tc>
      </w:tr>
    </w:tbl>
    <w:p/>
    <w:p>
      <w:pPr>
        <w:pStyle w:val="Heading1"/>
      </w:pPr>
      <w:r>
        <w:t>13. Expected Observations</w:t>
      </w:r>
    </w:p>
    <w:tbl>
      <w:tblPr>
        <w:tblStyle w:val="TableGrid"/>
        <w:tblW w:type="auto" w:w="0"/>
        <w:jc w:val="center"/>
        <w:tblLook w:firstColumn="1" w:firstRow="1" w:lastColumn="0" w:lastRow="0" w:noHBand="0" w:noVBand="1" w:val="04A0"/>
      </w:tblPr>
      <w:tblGrid>
        <w:gridCol w:w="5141"/>
        <w:gridCol w:w="5141"/>
      </w:tblGrid>
      <w:tr>
        <w:tc>
          <w:tcPr>
            <w:tcW w:type="dxa" w:w="3456"/>
            <w:vAlign w:val="center"/>
            <w:shd w:fill="D9EAF7"/>
          </w:tcPr>
          <w:p>
            <w:pPr>
              <w:spacing w:after="0"/>
              <w:jc w:val="left"/>
            </w:pPr>
            <w:r>
              <w:rPr>
                <w:b/>
                <w:sz w:val="17"/>
              </w:rPr>
              <w:t>Observation</w:t>
            </w:r>
          </w:p>
        </w:tc>
        <w:tc>
          <w:tcPr>
            <w:tcW w:type="dxa" w:w="6336"/>
            <w:vAlign w:val="center"/>
            <w:shd w:fill="D9EAF7"/>
          </w:tcPr>
          <w:p>
            <w:pPr>
              <w:spacing w:after="0"/>
              <w:jc w:val="left"/>
            </w:pPr>
            <w:r>
              <w:rPr>
                <w:b/>
                <w:sz w:val="17"/>
              </w:rPr>
              <w:t>Possible interpretation</w:t>
            </w:r>
          </w:p>
        </w:tc>
      </w:tr>
      <w:tr>
        <w:tc>
          <w:tcPr>
            <w:tcW w:type="dxa" w:w="3456"/>
            <w:vAlign w:val="center"/>
          </w:tcPr>
          <w:p>
            <w:pPr>
              <w:spacing w:after="0"/>
              <w:jc w:val="left"/>
            </w:pPr>
            <w:r>
              <w:rPr>
                <w:b w:val="0"/>
                <w:sz w:val="17"/>
              </w:rPr>
              <w:t>Uniform brown or black-brown dispersion</w:t>
            </w:r>
          </w:p>
        </w:tc>
        <w:tc>
          <w:tcPr>
            <w:tcW w:type="dxa" w:w="6336"/>
            <w:vAlign w:val="center"/>
          </w:tcPr>
          <w:p>
            <w:pPr>
              <w:spacing w:after="0"/>
              <w:jc w:val="left"/>
            </w:pPr>
            <w:r>
              <w:rPr>
                <w:b w:val="0"/>
                <w:sz w:val="17"/>
              </w:rPr>
              <w:t>Particles may be well suspended</w:t>
            </w:r>
          </w:p>
        </w:tc>
      </w:tr>
      <w:tr>
        <w:tc>
          <w:tcPr>
            <w:tcW w:type="dxa" w:w="3456"/>
            <w:vAlign w:val="center"/>
          </w:tcPr>
          <w:p>
            <w:pPr>
              <w:spacing w:after="0"/>
              <w:jc w:val="left"/>
            </w:pPr>
            <w:r>
              <w:rPr>
                <w:b w:val="0"/>
                <w:sz w:val="17"/>
              </w:rPr>
              <w:t>Rapid sedimentation</w:t>
            </w:r>
          </w:p>
        </w:tc>
        <w:tc>
          <w:tcPr>
            <w:tcW w:type="dxa" w:w="6336"/>
            <w:vAlign w:val="center"/>
          </w:tcPr>
          <w:p>
            <w:pPr>
              <w:spacing w:after="0"/>
              <w:jc w:val="left"/>
            </w:pPr>
            <w:r>
              <w:rPr>
                <w:b w:val="0"/>
                <w:sz w:val="17"/>
              </w:rPr>
              <w:t>Poor stabilization or high particle concentration</w:t>
            </w:r>
          </w:p>
        </w:tc>
      </w:tr>
      <w:tr>
        <w:tc>
          <w:tcPr>
            <w:tcW w:type="dxa" w:w="3456"/>
            <w:vAlign w:val="center"/>
          </w:tcPr>
          <w:p>
            <w:pPr>
              <w:spacing w:after="0"/>
              <w:jc w:val="left"/>
            </w:pPr>
            <w:r>
              <w:rPr>
                <w:b w:val="0"/>
                <w:sz w:val="17"/>
              </w:rPr>
              <w:t>Visible clumps</w:t>
            </w:r>
          </w:p>
        </w:tc>
        <w:tc>
          <w:tcPr>
            <w:tcW w:type="dxa" w:w="6336"/>
            <w:vAlign w:val="center"/>
          </w:tcPr>
          <w:p>
            <w:pPr>
              <w:spacing w:after="0"/>
              <w:jc w:val="left"/>
            </w:pPr>
            <w:r>
              <w:rPr>
                <w:b w:val="0"/>
                <w:sz w:val="17"/>
              </w:rPr>
              <w:t>Aggregation or incomplete dispersion</w:t>
            </w:r>
          </w:p>
        </w:tc>
      </w:tr>
      <w:tr>
        <w:tc>
          <w:tcPr>
            <w:tcW w:type="dxa" w:w="3456"/>
            <w:vAlign w:val="center"/>
          </w:tcPr>
          <w:p>
            <w:pPr>
              <w:spacing w:after="0"/>
              <w:jc w:val="left"/>
            </w:pPr>
            <w:r>
              <w:rPr>
                <w:b w:val="0"/>
                <w:sz w:val="17"/>
              </w:rPr>
              <w:t>Stable colour after waiting</w:t>
            </w:r>
          </w:p>
        </w:tc>
        <w:tc>
          <w:tcPr>
            <w:tcW w:type="dxa" w:w="6336"/>
            <w:vAlign w:val="center"/>
          </w:tcPr>
          <w:p>
            <w:pPr>
              <w:spacing w:after="0"/>
              <w:jc w:val="left"/>
            </w:pPr>
            <w:r>
              <w:rPr>
                <w:b w:val="0"/>
                <w:sz w:val="17"/>
              </w:rPr>
              <w:t>Better preliminary dispersion stability</w:t>
            </w:r>
          </w:p>
        </w:tc>
      </w:tr>
      <w:tr>
        <w:tc>
          <w:tcPr>
            <w:tcW w:type="dxa" w:w="3456"/>
            <w:vAlign w:val="center"/>
          </w:tcPr>
          <w:p>
            <w:pPr>
              <w:spacing w:after="0"/>
              <w:jc w:val="left"/>
            </w:pPr>
            <w:r>
              <w:rPr>
                <w:b w:val="0"/>
                <w:sz w:val="17"/>
              </w:rPr>
              <w:t>Clear upper layer with dark pellet</w:t>
            </w:r>
          </w:p>
        </w:tc>
        <w:tc>
          <w:tcPr>
            <w:tcW w:type="dxa" w:w="6336"/>
            <w:vAlign w:val="center"/>
          </w:tcPr>
          <w:p>
            <w:pPr>
              <w:spacing w:after="0"/>
              <w:jc w:val="left"/>
            </w:pPr>
            <w:r>
              <w:rPr>
                <w:b w:val="0"/>
                <w:sz w:val="17"/>
              </w:rPr>
              <w:t>Settling of magnetic particles</w:t>
            </w:r>
          </w:p>
        </w:tc>
      </w:tr>
      <w:tr>
        <w:tc>
          <w:tcPr>
            <w:tcW w:type="dxa" w:w="3456"/>
            <w:vAlign w:val="center"/>
          </w:tcPr>
          <w:p>
            <w:pPr>
              <w:spacing w:after="0"/>
              <w:jc w:val="left"/>
            </w:pPr>
            <w:r>
              <w:rPr>
                <w:b w:val="0"/>
                <w:sz w:val="17"/>
              </w:rPr>
              <w:t>Foam after sonication</w:t>
            </w:r>
          </w:p>
        </w:tc>
        <w:tc>
          <w:tcPr>
            <w:tcW w:type="dxa" w:w="6336"/>
            <w:vAlign w:val="center"/>
          </w:tcPr>
          <w:p>
            <w:pPr>
              <w:spacing w:after="0"/>
              <w:jc w:val="left"/>
            </w:pPr>
            <w:r>
              <w:rPr>
                <w:b w:val="0"/>
                <w:sz w:val="17"/>
              </w:rPr>
              <w:t>Excessive sonication or stabilizer effect</w:t>
            </w:r>
          </w:p>
        </w:tc>
      </w:tr>
      <w:tr>
        <w:tc>
          <w:tcPr>
            <w:tcW w:type="dxa" w:w="3456"/>
            <w:vAlign w:val="center"/>
          </w:tcPr>
          <w:p>
            <w:pPr>
              <w:spacing w:after="0"/>
              <w:jc w:val="left"/>
            </w:pPr>
            <w:r>
              <w:rPr>
                <w:b w:val="0"/>
                <w:sz w:val="17"/>
              </w:rPr>
              <w:t>Improved resuspension after gentle mixing</w:t>
            </w:r>
          </w:p>
        </w:tc>
        <w:tc>
          <w:tcPr>
            <w:tcW w:type="dxa" w:w="6336"/>
            <w:vAlign w:val="center"/>
          </w:tcPr>
          <w:p>
            <w:pPr>
              <w:spacing w:after="0"/>
              <w:jc w:val="left"/>
            </w:pPr>
            <w:r>
              <w:rPr>
                <w:b w:val="0"/>
                <w:sz w:val="17"/>
              </w:rPr>
              <w:t>Reversible settling rather than hard aggregation</w:t>
            </w:r>
          </w:p>
        </w:tc>
      </w:tr>
      <w:tr>
        <w:tc>
          <w:tcPr>
            <w:tcW w:type="dxa" w:w="3456"/>
            <w:vAlign w:val="center"/>
          </w:tcPr>
          <w:p>
            <w:pPr>
              <w:spacing w:after="0"/>
              <w:jc w:val="left"/>
            </w:pPr>
            <w:r>
              <w:rPr>
                <w:b w:val="0"/>
                <w:sz w:val="17"/>
              </w:rPr>
              <w:t>Persistent aggregates after sonication</w:t>
            </w:r>
          </w:p>
        </w:tc>
        <w:tc>
          <w:tcPr>
            <w:tcW w:type="dxa" w:w="6336"/>
            <w:vAlign w:val="center"/>
          </w:tcPr>
          <w:p>
            <w:pPr>
              <w:spacing w:after="0"/>
              <w:jc w:val="left"/>
            </w:pPr>
            <w:r>
              <w:rPr>
                <w:b w:val="0"/>
                <w:sz w:val="17"/>
              </w:rPr>
              <w:t>Conditioning chemistry or concentration may need revision</w:t>
            </w:r>
          </w:p>
        </w:tc>
      </w:tr>
    </w:tbl>
    <w:p/>
    <w:p>
      <w:pPr>
        <w:spacing w:after="120" w:line="259" w:lineRule="auto"/>
      </w:pPr>
      <w:r>
        <w:rPr>
          <w:sz w:val="21"/>
        </w:rPr>
        <w:t>Visual observation should be treated as preliminary evidence only. A visually uniform dispersion can still contain large aggregates. External size and surface-charge analysis are required for proper evaluation.</w:t>
      </w:r>
    </w:p>
    <w:p>
      <w:pPr>
        <w:pStyle w:val="Heading1"/>
      </w:pPr>
      <w:r>
        <w:t>14. Suggested Batch Record Format</w:t>
      </w:r>
    </w:p>
    <w:tbl>
      <w:tblPr>
        <w:tblStyle w:val="TableGrid"/>
        <w:tblW w:type="auto" w:w="0"/>
        <w:jc w:val="center"/>
        <w:tblLook w:firstColumn="1" w:firstRow="1" w:lastColumn="0" w:lastRow="0" w:noHBand="0" w:noVBand="1" w:val="04A0"/>
      </w:tblPr>
      <w:tblGrid>
        <w:gridCol w:w="1285"/>
        <w:gridCol w:w="1285"/>
        <w:gridCol w:w="1285"/>
        <w:gridCol w:w="1285"/>
        <w:gridCol w:w="1285"/>
        <w:gridCol w:w="1285"/>
        <w:gridCol w:w="1285"/>
        <w:gridCol w:w="1285"/>
      </w:tblGrid>
      <w:tr>
        <w:tc>
          <w:tcPr>
            <w:tcW w:type="dxa" w:w="1152"/>
            <w:vAlign w:val="center"/>
            <w:shd w:fill="D9EAF7"/>
          </w:tcPr>
          <w:p>
            <w:pPr>
              <w:spacing w:after="0"/>
              <w:jc w:val="left"/>
            </w:pPr>
            <w:r>
              <w:rPr>
                <w:b/>
                <w:sz w:val="17"/>
              </w:rPr>
              <w:t>Batch ID</w:t>
            </w:r>
          </w:p>
        </w:tc>
        <w:tc>
          <w:tcPr>
            <w:tcW w:type="dxa" w:w="1584"/>
            <w:vAlign w:val="center"/>
            <w:shd w:fill="D9EAF7"/>
          </w:tcPr>
          <w:p>
            <w:pPr>
              <w:spacing w:after="0"/>
              <w:jc w:val="left"/>
            </w:pPr>
            <w:r>
              <w:rPr>
                <w:b/>
                <w:sz w:val="17"/>
              </w:rPr>
              <w:t>Coating agent</w:t>
            </w:r>
          </w:p>
        </w:tc>
        <w:tc>
          <w:tcPr>
            <w:tcW w:type="dxa" w:w="1440"/>
            <w:vAlign w:val="center"/>
            <w:shd w:fill="D9EAF7"/>
          </w:tcPr>
          <w:p>
            <w:pPr>
              <w:spacing w:after="0"/>
              <w:jc w:val="left"/>
            </w:pPr>
            <w:r>
              <w:rPr>
                <w:b/>
                <w:sz w:val="17"/>
              </w:rPr>
              <w:t>Medium</w:t>
            </w:r>
          </w:p>
        </w:tc>
        <w:tc>
          <w:tcPr>
            <w:tcW w:type="dxa" w:w="1656"/>
            <w:vAlign w:val="center"/>
            <w:shd w:fill="D9EAF7"/>
          </w:tcPr>
          <w:p>
            <w:pPr>
              <w:spacing w:after="0"/>
              <w:jc w:val="left"/>
            </w:pPr>
            <w:r>
              <w:rPr>
                <w:b/>
                <w:sz w:val="17"/>
              </w:rPr>
              <w:t>Stirring</w:t>
            </w:r>
          </w:p>
        </w:tc>
        <w:tc>
          <w:tcPr>
            <w:tcW w:type="dxa" w:w="1440"/>
            <w:vAlign w:val="center"/>
            <w:shd w:fill="D9EAF7"/>
          </w:tcPr>
          <w:p>
            <w:pPr>
              <w:spacing w:after="0"/>
              <w:jc w:val="left"/>
            </w:pPr>
            <w:r>
              <w:rPr>
                <w:b/>
                <w:sz w:val="17"/>
              </w:rPr>
              <w:t>Heating</w:t>
            </w:r>
          </w:p>
        </w:tc>
        <w:tc>
          <w:tcPr>
            <w:tcW w:type="dxa" w:w="1296"/>
            <w:vAlign w:val="center"/>
            <w:shd w:fill="D9EAF7"/>
          </w:tcPr>
          <w:p>
            <w:pPr>
              <w:spacing w:after="0"/>
              <w:jc w:val="left"/>
            </w:pPr>
            <w:r>
              <w:rPr>
                <w:b/>
                <w:sz w:val="17"/>
              </w:rPr>
              <w:t>Sonication</w:t>
            </w:r>
          </w:p>
        </w:tc>
        <w:tc>
          <w:tcPr>
            <w:tcW w:type="dxa" w:w="1800"/>
            <w:vAlign w:val="center"/>
            <w:shd w:fill="D9EAF7"/>
          </w:tcPr>
          <w:p>
            <w:pPr>
              <w:spacing w:after="0"/>
              <w:jc w:val="left"/>
            </w:pPr>
            <w:r>
              <w:rPr>
                <w:b/>
                <w:sz w:val="17"/>
              </w:rPr>
              <w:t>Visual result</w:t>
            </w:r>
          </w:p>
        </w:tc>
        <w:tc>
          <w:tcPr>
            <w:tcW w:type="dxa" w:w="1440"/>
            <w:vAlign w:val="center"/>
            <w:shd w:fill="D9EAF7"/>
          </w:tcPr>
          <w:p>
            <w:pPr>
              <w:spacing w:after="0"/>
              <w:jc w:val="left"/>
            </w:pPr>
            <w:r>
              <w:rPr>
                <w:b/>
                <w:sz w:val="17"/>
              </w:rPr>
              <w:t>Next test</w:t>
            </w:r>
          </w:p>
        </w:tc>
      </w:tr>
      <w:tr>
        <w:tc>
          <w:tcPr>
            <w:tcW w:type="dxa" w:w="1152"/>
            <w:vAlign w:val="center"/>
          </w:tcPr>
          <w:p>
            <w:pPr>
              <w:spacing w:after="0"/>
              <w:jc w:val="left"/>
            </w:pPr>
            <w:r>
              <w:rPr>
                <w:b w:val="0"/>
                <w:sz w:val="17"/>
              </w:rPr>
              <w:t>IONP-01</w:t>
            </w:r>
          </w:p>
        </w:tc>
        <w:tc>
          <w:tcPr>
            <w:tcW w:type="dxa" w:w="1584"/>
            <w:vAlign w:val="center"/>
          </w:tcPr>
          <w:p>
            <w:pPr>
              <w:spacing w:after="0"/>
              <w:jc w:val="left"/>
            </w:pPr>
            <w:r>
              <w:rPr>
                <w:b w:val="0"/>
                <w:sz w:val="17"/>
              </w:rPr>
              <w:t>Citrate</w:t>
            </w:r>
          </w:p>
        </w:tc>
        <w:tc>
          <w:tcPr>
            <w:tcW w:type="dxa" w:w="1440"/>
            <w:vAlign w:val="center"/>
          </w:tcPr>
          <w:p>
            <w:pPr>
              <w:spacing w:after="0"/>
              <w:jc w:val="left"/>
            </w:pPr>
            <w:r>
              <w:rPr>
                <w:b w:val="0"/>
                <w:sz w:val="17"/>
              </w:rPr>
              <w:t>Water</w:t>
            </w:r>
          </w:p>
        </w:tc>
        <w:tc>
          <w:tcPr>
            <w:tcW w:type="dxa" w:w="1656"/>
            <w:vAlign w:val="center"/>
          </w:tcPr>
          <w:p>
            <w:pPr>
              <w:spacing w:after="0"/>
              <w:jc w:val="left"/>
            </w:pPr>
            <w:r>
              <w:rPr>
                <w:b w:val="0"/>
                <w:sz w:val="17"/>
              </w:rPr>
              <w:t>400 RPM / 20 min</w:t>
            </w:r>
          </w:p>
        </w:tc>
        <w:tc>
          <w:tcPr>
            <w:tcW w:type="dxa" w:w="1440"/>
            <w:vAlign w:val="center"/>
          </w:tcPr>
          <w:p>
            <w:pPr>
              <w:spacing w:after="0"/>
              <w:jc w:val="left"/>
            </w:pPr>
            <w:r>
              <w:rPr>
                <w:b w:val="0"/>
                <w:sz w:val="17"/>
              </w:rPr>
              <w:t>None</w:t>
            </w:r>
          </w:p>
        </w:tc>
        <w:tc>
          <w:tcPr>
            <w:tcW w:type="dxa" w:w="1296"/>
            <w:vAlign w:val="center"/>
          </w:tcPr>
          <w:p>
            <w:pPr>
              <w:spacing w:after="0"/>
              <w:jc w:val="left"/>
            </w:pPr>
            <w:r>
              <w:rPr>
                <w:b w:val="0"/>
                <w:sz w:val="17"/>
              </w:rPr>
              <w:t>2 min</w:t>
            </w:r>
          </w:p>
        </w:tc>
        <w:tc>
          <w:tcPr>
            <w:tcW w:type="dxa" w:w="1800"/>
            <w:vAlign w:val="center"/>
          </w:tcPr>
          <w:p>
            <w:pPr>
              <w:spacing w:after="0"/>
              <w:jc w:val="left"/>
            </w:pPr>
            <w:r>
              <w:rPr>
                <w:b w:val="0"/>
                <w:sz w:val="17"/>
              </w:rPr>
              <w:t>Moderate settling</w:t>
            </w:r>
          </w:p>
        </w:tc>
        <w:tc>
          <w:tcPr>
            <w:tcW w:type="dxa" w:w="1440"/>
            <w:vAlign w:val="center"/>
          </w:tcPr>
          <w:p>
            <w:pPr>
              <w:spacing w:after="0"/>
              <w:jc w:val="left"/>
            </w:pPr>
            <w:r>
              <w:rPr>
                <w:b w:val="0"/>
                <w:sz w:val="17"/>
              </w:rPr>
              <w:t>DLS + zeta</w:t>
            </w:r>
          </w:p>
        </w:tc>
      </w:tr>
      <w:tr>
        <w:tc>
          <w:tcPr>
            <w:tcW w:type="dxa" w:w="1152"/>
            <w:vAlign w:val="center"/>
          </w:tcPr>
          <w:p>
            <w:pPr>
              <w:spacing w:after="0"/>
              <w:jc w:val="left"/>
            </w:pPr>
            <w:r>
              <w:rPr>
                <w:b w:val="0"/>
                <w:sz w:val="17"/>
              </w:rPr>
              <w:t>IONP-02</w:t>
            </w:r>
          </w:p>
        </w:tc>
        <w:tc>
          <w:tcPr>
            <w:tcW w:type="dxa" w:w="1584"/>
            <w:vAlign w:val="center"/>
          </w:tcPr>
          <w:p>
            <w:pPr>
              <w:spacing w:after="0"/>
              <w:jc w:val="left"/>
            </w:pPr>
            <w:r>
              <w:rPr>
                <w:b w:val="0"/>
                <w:sz w:val="17"/>
              </w:rPr>
              <w:t>Dextran</w:t>
            </w:r>
          </w:p>
        </w:tc>
        <w:tc>
          <w:tcPr>
            <w:tcW w:type="dxa" w:w="1440"/>
            <w:vAlign w:val="center"/>
          </w:tcPr>
          <w:p>
            <w:pPr>
              <w:spacing w:after="0"/>
              <w:jc w:val="left"/>
            </w:pPr>
            <w:r>
              <w:rPr>
                <w:b w:val="0"/>
                <w:sz w:val="17"/>
              </w:rPr>
              <w:t>Buffer</w:t>
            </w:r>
          </w:p>
        </w:tc>
        <w:tc>
          <w:tcPr>
            <w:tcW w:type="dxa" w:w="1656"/>
            <w:vAlign w:val="center"/>
          </w:tcPr>
          <w:p>
            <w:pPr>
              <w:spacing w:after="0"/>
              <w:jc w:val="left"/>
            </w:pPr>
            <w:r>
              <w:rPr>
                <w:b w:val="0"/>
                <w:sz w:val="17"/>
              </w:rPr>
              <w:t>350 RPM / 30 min</w:t>
            </w:r>
          </w:p>
        </w:tc>
        <w:tc>
          <w:tcPr>
            <w:tcW w:type="dxa" w:w="1440"/>
            <w:vAlign w:val="center"/>
          </w:tcPr>
          <w:p>
            <w:pPr>
              <w:spacing w:after="0"/>
              <w:jc w:val="left"/>
            </w:pPr>
            <w:r>
              <w:rPr>
                <w:b w:val="0"/>
                <w:sz w:val="17"/>
              </w:rPr>
              <w:t>40 C / 20 min</w:t>
            </w:r>
          </w:p>
        </w:tc>
        <w:tc>
          <w:tcPr>
            <w:tcW w:type="dxa" w:w="1296"/>
            <w:vAlign w:val="center"/>
          </w:tcPr>
          <w:p>
            <w:pPr>
              <w:spacing w:after="0"/>
              <w:jc w:val="left"/>
            </w:pPr>
            <w:r>
              <w:rPr>
                <w:b w:val="0"/>
                <w:sz w:val="17"/>
              </w:rPr>
              <w:t>3 min</w:t>
            </w:r>
          </w:p>
        </w:tc>
        <w:tc>
          <w:tcPr>
            <w:tcW w:type="dxa" w:w="1800"/>
            <w:vAlign w:val="center"/>
          </w:tcPr>
          <w:p>
            <w:pPr>
              <w:spacing w:after="0"/>
              <w:jc w:val="left"/>
            </w:pPr>
            <w:r>
              <w:rPr>
                <w:b w:val="0"/>
                <w:sz w:val="17"/>
              </w:rPr>
              <w:t>Uniform dispersion</w:t>
            </w:r>
          </w:p>
        </w:tc>
        <w:tc>
          <w:tcPr>
            <w:tcW w:type="dxa" w:w="1440"/>
            <w:vAlign w:val="center"/>
          </w:tcPr>
          <w:p>
            <w:pPr>
              <w:spacing w:after="0"/>
              <w:jc w:val="left"/>
            </w:pPr>
            <w:r>
              <w:rPr>
                <w:b w:val="0"/>
                <w:sz w:val="17"/>
              </w:rPr>
              <w:t>DLS + FTIR</w:t>
            </w:r>
          </w:p>
        </w:tc>
      </w:tr>
      <w:tr>
        <w:tc>
          <w:tcPr>
            <w:tcW w:type="dxa" w:w="1152"/>
            <w:vAlign w:val="center"/>
          </w:tcPr>
          <w:p>
            <w:pPr>
              <w:spacing w:after="0"/>
              <w:jc w:val="left"/>
            </w:pPr>
            <w:r>
              <w:rPr>
                <w:b w:val="0"/>
                <w:sz w:val="17"/>
              </w:rPr>
              <w:t>IONP-03</w:t>
            </w:r>
          </w:p>
        </w:tc>
        <w:tc>
          <w:tcPr>
            <w:tcW w:type="dxa" w:w="1584"/>
            <w:vAlign w:val="center"/>
          </w:tcPr>
          <w:p>
            <w:pPr>
              <w:spacing w:after="0"/>
              <w:jc w:val="left"/>
            </w:pPr>
            <w:r>
              <w:rPr>
                <w:b w:val="0"/>
                <w:sz w:val="17"/>
              </w:rPr>
              <w:t>PEG stabilizer</w:t>
            </w:r>
          </w:p>
        </w:tc>
        <w:tc>
          <w:tcPr>
            <w:tcW w:type="dxa" w:w="1440"/>
            <w:vAlign w:val="center"/>
          </w:tcPr>
          <w:p>
            <w:pPr>
              <w:spacing w:after="0"/>
              <w:jc w:val="left"/>
            </w:pPr>
            <w:r>
              <w:rPr>
                <w:b w:val="0"/>
                <w:sz w:val="17"/>
              </w:rPr>
              <w:t>Buffer</w:t>
            </w:r>
          </w:p>
        </w:tc>
        <w:tc>
          <w:tcPr>
            <w:tcW w:type="dxa" w:w="1656"/>
            <w:vAlign w:val="center"/>
          </w:tcPr>
          <w:p>
            <w:pPr>
              <w:spacing w:after="0"/>
              <w:jc w:val="left"/>
            </w:pPr>
            <w:r>
              <w:rPr>
                <w:b w:val="0"/>
                <w:sz w:val="17"/>
              </w:rPr>
              <w:t>300 RPM / 30 min</w:t>
            </w:r>
          </w:p>
        </w:tc>
        <w:tc>
          <w:tcPr>
            <w:tcW w:type="dxa" w:w="1440"/>
            <w:vAlign w:val="center"/>
          </w:tcPr>
          <w:p>
            <w:pPr>
              <w:spacing w:after="0"/>
              <w:jc w:val="left"/>
            </w:pPr>
            <w:r>
              <w:rPr>
                <w:b w:val="0"/>
                <w:sz w:val="17"/>
              </w:rPr>
              <w:t>35 C / 20 min</w:t>
            </w:r>
          </w:p>
        </w:tc>
        <w:tc>
          <w:tcPr>
            <w:tcW w:type="dxa" w:w="1296"/>
            <w:vAlign w:val="center"/>
          </w:tcPr>
          <w:p>
            <w:pPr>
              <w:spacing w:after="0"/>
              <w:jc w:val="left"/>
            </w:pPr>
            <w:r>
              <w:rPr>
                <w:b w:val="0"/>
                <w:sz w:val="17"/>
              </w:rPr>
              <w:t>2 min</w:t>
            </w:r>
          </w:p>
        </w:tc>
        <w:tc>
          <w:tcPr>
            <w:tcW w:type="dxa" w:w="1800"/>
            <w:vAlign w:val="center"/>
          </w:tcPr>
          <w:p>
            <w:pPr>
              <w:spacing w:after="0"/>
              <w:jc w:val="left"/>
            </w:pPr>
            <w:r>
              <w:rPr>
                <w:b w:val="0"/>
                <w:sz w:val="17"/>
              </w:rPr>
              <w:t>Stable after wait</w:t>
            </w:r>
          </w:p>
        </w:tc>
        <w:tc>
          <w:tcPr>
            <w:tcW w:type="dxa" w:w="1440"/>
            <w:vAlign w:val="center"/>
          </w:tcPr>
          <w:p>
            <w:pPr>
              <w:spacing w:after="0"/>
              <w:jc w:val="left"/>
            </w:pPr>
            <w:r>
              <w:rPr>
                <w:b w:val="0"/>
                <w:sz w:val="17"/>
              </w:rPr>
              <w:t>Size + stability</w:t>
            </w:r>
          </w:p>
        </w:tc>
      </w:tr>
      <w:tr>
        <w:tc>
          <w:tcPr>
            <w:tcW w:type="dxa" w:w="1152"/>
            <w:vAlign w:val="center"/>
          </w:tcPr>
          <w:p>
            <w:pPr>
              <w:spacing w:after="0"/>
              <w:jc w:val="left"/>
            </w:pPr>
            <w:r>
              <w:rPr>
                <w:b w:val="0"/>
                <w:sz w:val="17"/>
              </w:rPr>
              <w:t>IONP-04</w:t>
            </w:r>
          </w:p>
        </w:tc>
        <w:tc>
          <w:tcPr>
            <w:tcW w:type="dxa" w:w="1584"/>
            <w:vAlign w:val="center"/>
          </w:tcPr>
          <w:p>
            <w:pPr>
              <w:spacing w:after="0"/>
              <w:jc w:val="left"/>
            </w:pPr>
            <w:r>
              <w:rPr>
                <w:b w:val="0"/>
                <w:sz w:val="17"/>
              </w:rPr>
              <w:t>Chitosan</w:t>
            </w:r>
          </w:p>
        </w:tc>
        <w:tc>
          <w:tcPr>
            <w:tcW w:type="dxa" w:w="1440"/>
            <w:vAlign w:val="center"/>
          </w:tcPr>
          <w:p>
            <w:pPr>
              <w:spacing w:after="0"/>
              <w:jc w:val="left"/>
            </w:pPr>
            <w:r>
              <w:rPr>
                <w:b w:val="0"/>
                <w:sz w:val="17"/>
              </w:rPr>
              <w:t>Mild acidic medium</w:t>
            </w:r>
          </w:p>
        </w:tc>
        <w:tc>
          <w:tcPr>
            <w:tcW w:type="dxa" w:w="1656"/>
            <w:vAlign w:val="center"/>
          </w:tcPr>
          <w:p>
            <w:pPr>
              <w:spacing w:after="0"/>
              <w:jc w:val="left"/>
            </w:pPr>
            <w:r>
              <w:rPr>
                <w:b w:val="0"/>
                <w:sz w:val="17"/>
              </w:rPr>
              <w:t>350 RPM / 30 min</w:t>
            </w:r>
          </w:p>
        </w:tc>
        <w:tc>
          <w:tcPr>
            <w:tcW w:type="dxa" w:w="1440"/>
            <w:vAlign w:val="center"/>
          </w:tcPr>
          <w:p>
            <w:pPr>
              <w:spacing w:after="0"/>
              <w:jc w:val="left"/>
            </w:pPr>
            <w:r>
              <w:rPr>
                <w:b w:val="0"/>
                <w:sz w:val="17"/>
              </w:rPr>
              <w:t>35 C / 15 min</w:t>
            </w:r>
          </w:p>
        </w:tc>
        <w:tc>
          <w:tcPr>
            <w:tcW w:type="dxa" w:w="1296"/>
            <w:vAlign w:val="center"/>
          </w:tcPr>
          <w:p>
            <w:pPr>
              <w:spacing w:after="0"/>
              <w:jc w:val="left"/>
            </w:pPr>
            <w:r>
              <w:rPr>
                <w:b w:val="0"/>
                <w:sz w:val="17"/>
              </w:rPr>
              <w:t>1 min</w:t>
            </w:r>
          </w:p>
        </w:tc>
        <w:tc>
          <w:tcPr>
            <w:tcW w:type="dxa" w:w="1800"/>
            <w:vAlign w:val="center"/>
          </w:tcPr>
          <w:p>
            <w:pPr>
              <w:spacing w:after="0"/>
              <w:jc w:val="left"/>
            </w:pPr>
            <w:r>
              <w:rPr>
                <w:b w:val="0"/>
                <w:sz w:val="17"/>
              </w:rPr>
              <w:t>Slight clumping</w:t>
            </w:r>
          </w:p>
        </w:tc>
        <w:tc>
          <w:tcPr>
            <w:tcW w:type="dxa" w:w="1440"/>
            <w:vAlign w:val="center"/>
          </w:tcPr>
          <w:p>
            <w:pPr>
              <w:spacing w:after="0"/>
              <w:jc w:val="left"/>
            </w:pPr>
            <w:r>
              <w:rPr>
                <w:b w:val="0"/>
                <w:sz w:val="17"/>
              </w:rPr>
              <w:t>Optimize ratio</w:t>
            </w:r>
          </w:p>
        </w:tc>
      </w:tr>
    </w:tbl>
    <w:p/>
    <w:p>
      <w:pPr>
        <w:pStyle w:val="Heading1"/>
      </w:pPr>
      <w:r>
        <w:t>15. Interpretation Strategy</w:t>
      </w:r>
    </w:p>
    <w:p>
      <w:pPr>
        <w:spacing w:after="120" w:line="259" w:lineRule="auto"/>
      </w:pPr>
      <w:r>
        <w:rPr>
          <w:sz w:val="21"/>
        </w:rPr>
        <w:t>The result should be interpreted in layers. First, evaluate the basic visual behaviour: Does the sample remain uniformly dispersed after mixing and waiting? Second, compare the formulation record: Which stabilizer, volume, temperature, and sonication time were used? Third, perform external tests to confirm whether the visual result matches actual particle size, surface charge, and magnetic behaviour.</w:t>
      </w:r>
    </w:p>
    <w:p>
      <w:pPr>
        <w:spacing w:after="120" w:line="259" w:lineRule="auto"/>
      </w:pPr>
      <w:r>
        <w:rPr>
          <w:sz w:val="21"/>
        </w:rPr>
        <w:t>A useful workflow is: prepare a small set of conditioned batches, document visible stability, perform DLS and zeta potential, select the most stable candidate, then move to magnetic response, surface chemistry, and biological model testing only for selected formulations.</w:t>
      </w:r>
    </w:p>
    <w:p>
      <w:pPr>
        <w:pStyle w:val="Heading1"/>
      </w:pPr>
      <w:r>
        <w:t>16. Offline Characterization Plan</w:t>
      </w:r>
    </w:p>
    <w:tbl>
      <w:tblPr>
        <w:tblStyle w:val="TableGrid"/>
        <w:tblW w:type="auto" w:w="0"/>
        <w:jc w:val="center"/>
        <w:tblLook w:firstColumn="1" w:firstRow="1" w:lastColumn="0" w:lastRow="0" w:noHBand="0" w:noVBand="1" w:val="04A0"/>
      </w:tblPr>
      <w:tblGrid>
        <w:gridCol w:w="5141"/>
        <w:gridCol w:w="5141"/>
      </w:tblGrid>
      <w:tr>
        <w:tc>
          <w:tcPr>
            <w:tcW w:type="dxa" w:w="3168"/>
            <w:vAlign w:val="center"/>
            <w:shd w:fill="D9EAF7"/>
          </w:tcPr>
          <w:p>
            <w:pPr>
              <w:spacing w:after="0"/>
              <w:jc w:val="left"/>
            </w:pPr>
            <w:r>
              <w:rPr>
                <w:b/>
                <w:sz w:val="17"/>
              </w:rPr>
              <w:t>Test</w:t>
            </w:r>
          </w:p>
        </w:tc>
        <w:tc>
          <w:tcPr>
            <w:tcW w:type="dxa" w:w="6624"/>
            <w:vAlign w:val="center"/>
            <w:shd w:fill="D9EAF7"/>
          </w:tcPr>
          <w:p>
            <w:pPr>
              <w:spacing w:after="0"/>
              <w:jc w:val="left"/>
            </w:pPr>
            <w:r>
              <w:rPr>
                <w:b/>
                <w:sz w:val="17"/>
              </w:rPr>
              <w:t>Purpose</w:t>
            </w:r>
          </w:p>
        </w:tc>
      </w:tr>
      <w:tr>
        <w:tc>
          <w:tcPr>
            <w:tcW w:type="dxa" w:w="3168"/>
            <w:vAlign w:val="center"/>
          </w:tcPr>
          <w:p>
            <w:pPr>
              <w:spacing w:after="0"/>
              <w:jc w:val="left"/>
            </w:pPr>
            <w:r>
              <w:rPr>
                <w:b w:val="0"/>
                <w:sz w:val="17"/>
              </w:rPr>
              <w:t>DLS</w:t>
            </w:r>
          </w:p>
        </w:tc>
        <w:tc>
          <w:tcPr>
            <w:tcW w:type="dxa" w:w="6624"/>
            <w:vAlign w:val="center"/>
          </w:tcPr>
          <w:p>
            <w:pPr>
              <w:spacing w:after="0"/>
              <w:jc w:val="left"/>
            </w:pPr>
            <w:r>
              <w:rPr>
                <w:b w:val="0"/>
                <w:sz w:val="17"/>
              </w:rPr>
              <w:t>Hydrodynamic size and polydispersity</w:t>
            </w:r>
          </w:p>
        </w:tc>
      </w:tr>
      <w:tr>
        <w:tc>
          <w:tcPr>
            <w:tcW w:type="dxa" w:w="3168"/>
            <w:vAlign w:val="center"/>
          </w:tcPr>
          <w:p>
            <w:pPr>
              <w:spacing w:after="0"/>
              <w:jc w:val="left"/>
            </w:pPr>
            <w:r>
              <w:rPr>
                <w:b w:val="0"/>
                <w:sz w:val="17"/>
              </w:rPr>
              <w:t>Zeta potential</w:t>
            </w:r>
          </w:p>
        </w:tc>
        <w:tc>
          <w:tcPr>
            <w:tcW w:type="dxa" w:w="6624"/>
            <w:vAlign w:val="center"/>
          </w:tcPr>
          <w:p>
            <w:pPr>
              <w:spacing w:after="0"/>
              <w:jc w:val="left"/>
            </w:pPr>
            <w:r>
              <w:rPr>
                <w:b w:val="0"/>
                <w:sz w:val="17"/>
              </w:rPr>
              <w:t>Surface charge and colloidal stability indication</w:t>
            </w:r>
          </w:p>
        </w:tc>
      </w:tr>
      <w:tr>
        <w:tc>
          <w:tcPr>
            <w:tcW w:type="dxa" w:w="3168"/>
            <w:vAlign w:val="center"/>
          </w:tcPr>
          <w:p>
            <w:pPr>
              <w:spacing w:after="0"/>
              <w:jc w:val="left"/>
            </w:pPr>
            <w:r>
              <w:rPr>
                <w:b w:val="0"/>
                <w:sz w:val="17"/>
              </w:rPr>
              <w:t>FTIR</w:t>
            </w:r>
          </w:p>
        </w:tc>
        <w:tc>
          <w:tcPr>
            <w:tcW w:type="dxa" w:w="6624"/>
            <w:vAlign w:val="center"/>
          </w:tcPr>
          <w:p>
            <w:pPr>
              <w:spacing w:after="0"/>
              <w:jc w:val="left"/>
            </w:pPr>
            <w:r>
              <w:rPr>
                <w:b w:val="0"/>
                <w:sz w:val="17"/>
              </w:rPr>
              <w:t>Evidence of coating or surface functional groups</w:t>
            </w:r>
          </w:p>
        </w:tc>
      </w:tr>
      <w:tr>
        <w:tc>
          <w:tcPr>
            <w:tcW w:type="dxa" w:w="3168"/>
            <w:vAlign w:val="center"/>
          </w:tcPr>
          <w:p>
            <w:pPr>
              <w:spacing w:after="0"/>
              <w:jc w:val="left"/>
            </w:pPr>
            <w:r>
              <w:rPr>
                <w:b w:val="0"/>
                <w:sz w:val="17"/>
              </w:rPr>
              <w:t>XRD</w:t>
            </w:r>
          </w:p>
        </w:tc>
        <w:tc>
          <w:tcPr>
            <w:tcW w:type="dxa" w:w="6624"/>
            <w:vAlign w:val="center"/>
          </w:tcPr>
          <w:p>
            <w:pPr>
              <w:spacing w:after="0"/>
              <w:jc w:val="left"/>
            </w:pPr>
            <w:r>
              <w:rPr>
                <w:b w:val="0"/>
                <w:sz w:val="17"/>
              </w:rPr>
              <w:t>Iron oxide phase and crystallinity</w:t>
            </w:r>
          </w:p>
        </w:tc>
      </w:tr>
      <w:tr>
        <w:tc>
          <w:tcPr>
            <w:tcW w:type="dxa" w:w="3168"/>
            <w:vAlign w:val="center"/>
          </w:tcPr>
          <w:p>
            <w:pPr>
              <w:spacing w:after="0"/>
              <w:jc w:val="left"/>
            </w:pPr>
            <w:r>
              <w:rPr>
                <w:b w:val="0"/>
                <w:sz w:val="17"/>
              </w:rPr>
              <w:t>TEM / SEM</w:t>
            </w:r>
          </w:p>
        </w:tc>
        <w:tc>
          <w:tcPr>
            <w:tcW w:type="dxa" w:w="6624"/>
            <w:vAlign w:val="center"/>
          </w:tcPr>
          <w:p>
            <w:pPr>
              <w:spacing w:after="0"/>
              <w:jc w:val="left"/>
            </w:pPr>
            <w:r>
              <w:rPr>
                <w:b w:val="0"/>
                <w:sz w:val="17"/>
              </w:rPr>
              <w:t>Core morphology and aggregation state</w:t>
            </w:r>
          </w:p>
        </w:tc>
      </w:tr>
      <w:tr>
        <w:tc>
          <w:tcPr>
            <w:tcW w:type="dxa" w:w="3168"/>
            <w:vAlign w:val="center"/>
          </w:tcPr>
          <w:p>
            <w:pPr>
              <w:spacing w:after="0"/>
              <w:jc w:val="left"/>
            </w:pPr>
            <w:r>
              <w:rPr>
                <w:b w:val="0"/>
                <w:sz w:val="17"/>
              </w:rPr>
              <w:t>VSM or magnetic response test</w:t>
            </w:r>
          </w:p>
        </w:tc>
        <w:tc>
          <w:tcPr>
            <w:tcW w:type="dxa" w:w="6624"/>
            <w:vAlign w:val="center"/>
          </w:tcPr>
          <w:p>
            <w:pPr>
              <w:spacing w:after="0"/>
              <w:jc w:val="left"/>
            </w:pPr>
            <w:r>
              <w:rPr>
                <w:b w:val="0"/>
                <w:sz w:val="17"/>
              </w:rPr>
              <w:t>Magnetization and magnetic behaviour</w:t>
            </w:r>
          </w:p>
        </w:tc>
      </w:tr>
      <w:tr>
        <w:tc>
          <w:tcPr>
            <w:tcW w:type="dxa" w:w="3168"/>
            <w:vAlign w:val="center"/>
          </w:tcPr>
          <w:p>
            <w:pPr>
              <w:spacing w:after="0"/>
              <w:jc w:val="left"/>
            </w:pPr>
            <w:r>
              <w:rPr>
                <w:b w:val="0"/>
                <w:sz w:val="17"/>
              </w:rPr>
              <w:t>Stability in buffer / salt / serum model</w:t>
            </w:r>
          </w:p>
        </w:tc>
        <w:tc>
          <w:tcPr>
            <w:tcW w:type="dxa" w:w="6624"/>
            <w:vAlign w:val="center"/>
          </w:tcPr>
          <w:p>
            <w:pPr>
              <w:spacing w:after="0"/>
              <w:jc w:val="left"/>
            </w:pPr>
            <w:r>
              <w:rPr>
                <w:b w:val="0"/>
                <w:sz w:val="17"/>
              </w:rPr>
              <w:t>Medium compatibility</w:t>
            </w:r>
          </w:p>
        </w:tc>
      </w:tr>
      <w:tr>
        <w:tc>
          <w:tcPr>
            <w:tcW w:type="dxa" w:w="3168"/>
            <w:vAlign w:val="center"/>
          </w:tcPr>
          <w:p>
            <w:pPr>
              <w:spacing w:after="0"/>
              <w:jc w:val="left"/>
            </w:pPr>
            <w:r>
              <w:rPr>
                <w:b w:val="0"/>
                <w:sz w:val="17"/>
              </w:rPr>
              <w:t>Cytotoxicity assay</w:t>
            </w:r>
          </w:p>
        </w:tc>
        <w:tc>
          <w:tcPr>
            <w:tcW w:type="dxa" w:w="6624"/>
            <w:vAlign w:val="center"/>
          </w:tcPr>
          <w:p>
            <w:pPr>
              <w:spacing w:after="0"/>
              <w:jc w:val="left"/>
            </w:pPr>
            <w:r>
              <w:rPr>
                <w:b w:val="0"/>
                <w:sz w:val="17"/>
              </w:rPr>
              <w:t>Basic biological compatibility</w:t>
            </w:r>
          </w:p>
        </w:tc>
      </w:tr>
      <w:tr>
        <w:tc>
          <w:tcPr>
            <w:tcW w:type="dxa" w:w="3168"/>
            <w:vAlign w:val="center"/>
          </w:tcPr>
          <w:p>
            <w:pPr>
              <w:spacing w:after="0"/>
              <w:jc w:val="left"/>
            </w:pPr>
            <w:r>
              <w:rPr>
                <w:b w:val="0"/>
                <w:sz w:val="17"/>
              </w:rPr>
              <w:t>Cellular uptake / imaging model</w:t>
            </w:r>
          </w:p>
        </w:tc>
        <w:tc>
          <w:tcPr>
            <w:tcW w:type="dxa" w:w="6624"/>
            <w:vAlign w:val="center"/>
          </w:tcPr>
          <w:p>
            <w:pPr>
              <w:spacing w:after="0"/>
              <w:jc w:val="left"/>
            </w:pPr>
            <w:r>
              <w:rPr>
                <w:b w:val="0"/>
                <w:sz w:val="17"/>
              </w:rPr>
              <w:t>Theranostic research relevance</w:t>
            </w:r>
          </w:p>
        </w:tc>
      </w:tr>
      <w:tr>
        <w:tc>
          <w:tcPr>
            <w:tcW w:type="dxa" w:w="3168"/>
            <w:vAlign w:val="center"/>
          </w:tcPr>
          <w:p>
            <w:pPr>
              <w:spacing w:after="0"/>
              <w:jc w:val="left"/>
            </w:pPr>
            <w:r>
              <w:rPr>
                <w:b w:val="0"/>
                <w:sz w:val="17"/>
              </w:rPr>
              <w:t>Sterility / endotoxin testing</w:t>
            </w:r>
          </w:p>
        </w:tc>
        <w:tc>
          <w:tcPr>
            <w:tcW w:type="dxa" w:w="6624"/>
            <w:vAlign w:val="center"/>
          </w:tcPr>
          <w:p>
            <w:pPr>
              <w:spacing w:after="0"/>
              <w:jc w:val="left"/>
            </w:pPr>
            <w:r>
              <w:rPr>
                <w:b w:val="0"/>
                <w:sz w:val="17"/>
              </w:rPr>
              <w:t>Required for advanced biomedical work</w:t>
            </w:r>
          </w:p>
        </w:tc>
      </w:tr>
    </w:tbl>
    <w:p/>
    <w:p>
      <w:pPr>
        <w:pStyle w:val="Heading1"/>
      </w:pPr>
      <w:r>
        <w:t>17. Webinar Explanation Strategy</w:t>
      </w:r>
    </w:p>
    <w:p>
      <w:pPr>
        <w:spacing w:after="120" w:line="259" w:lineRule="auto"/>
      </w:pPr>
      <w:r>
        <w:rPr>
          <w:sz w:val="21"/>
        </w:rPr>
        <w:t>For a webinar, the protocol can be explained as a surface preparation step between nanoparticle synthesis and advanced biomedical testing. The message should be that iron oxide nanoparticles are not ready for meaningful theranostic studies just because they have been synthesized. Their surface must be conditioned and documented.</w:t>
      </w:r>
    </w:p>
    <w:p>
      <w:pPr>
        <w:spacing w:after="120" w:line="259" w:lineRule="auto"/>
      </w:pPr>
      <w:r>
        <w:rPr>
          <w:sz w:val="21"/>
        </w:rPr>
        <w:t>A simple explanation can be: "In this workflow, Protoly defines the surface-conditioning recipe and NSL assists with dispensing, stirring, heating, waiting, sonication, and camera documentation. The output is a conditioned magnetic nanoparticle dispersion. Advanced tests such as size, charge, magnetic response, cytotoxicity, and imaging performance are performed separately."</w:t>
      </w:r>
    </w:p>
    <w:tbl>
      <w:tblPr>
        <w:tblStyle w:val="TableGrid"/>
        <w:tblW w:type="auto" w:w="0"/>
        <w:jc w:val="center"/>
        <w:tblLook w:firstColumn="1" w:firstRow="1" w:lastColumn="0" w:lastRow="0" w:noHBand="0" w:noVBand="1" w:val="04A0"/>
      </w:tblPr>
      <w:tblGrid>
        <w:gridCol w:w="5141"/>
        <w:gridCol w:w="5141"/>
      </w:tblGrid>
      <w:tr>
        <w:tc>
          <w:tcPr>
            <w:tcW w:type="dxa" w:w="3312"/>
            <w:vAlign w:val="center"/>
            <w:shd w:fill="D9EAF7"/>
          </w:tcPr>
          <w:p>
            <w:pPr>
              <w:spacing w:after="0"/>
              <w:jc w:val="left"/>
            </w:pPr>
            <w:r>
              <w:rPr>
                <w:b/>
                <w:sz w:val="17"/>
              </w:rPr>
              <w:t>Webinar topic</w:t>
            </w:r>
          </w:p>
        </w:tc>
        <w:tc>
          <w:tcPr>
            <w:tcW w:type="dxa" w:w="6480"/>
            <w:vAlign w:val="center"/>
            <w:shd w:fill="D9EAF7"/>
          </w:tcPr>
          <w:p>
            <w:pPr>
              <w:spacing w:after="0"/>
              <w:jc w:val="left"/>
            </w:pPr>
            <w:r>
              <w:rPr>
                <w:b/>
                <w:sz w:val="17"/>
              </w:rPr>
              <w:t>Key message</w:t>
            </w:r>
          </w:p>
        </w:tc>
      </w:tr>
      <w:tr>
        <w:tc>
          <w:tcPr>
            <w:tcW w:type="dxa" w:w="3312"/>
            <w:vAlign w:val="center"/>
          </w:tcPr>
          <w:p>
            <w:pPr>
              <w:spacing w:after="0"/>
              <w:jc w:val="left"/>
            </w:pPr>
            <w:r>
              <w:rPr>
                <w:b w:val="0"/>
                <w:sz w:val="17"/>
              </w:rPr>
              <w:t>What is iron oxide nanoparticle conditioning?</w:t>
            </w:r>
          </w:p>
        </w:tc>
        <w:tc>
          <w:tcPr>
            <w:tcW w:type="dxa" w:w="6480"/>
            <w:vAlign w:val="center"/>
          </w:tcPr>
          <w:p>
            <w:pPr>
              <w:spacing w:after="0"/>
              <w:jc w:val="left"/>
            </w:pPr>
            <w:r>
              <w:rPr>
                <w:b w:val="0"/>
                <w:sz w:val="17"/>
              </w:rPr>
              <w:t>Preparing the particle surface and dispersion for further study</w:t>
            </w:r>
          </w:p>
        </w:tc>
      </w:tr>
      <w:tr>
        <w:tc>
          <w:tcPr>
            <w:tcW w:type="dxa" w:w="3312"/>
            <w:vAlign w:val="center"/>
          </w:tcPr>
          <w:p>
            <w:pPr>
              <w:spacing w:after="0"/>
              <w:jc w:val="left"/>
            </w:pPr>
            <w:r>
              <w:rPr>
                <w:b w:val="0"/>
                <w:sz w:val="17"/>
              </w:rPr>
              <w:t>Why automation helps</w:t>
            </w:r>
          </w:p>
        </w:tc>
        <w:tc>
          <w:tcPr>
            <w:tcW w:type="dxa" w:w="6480"/>
            <w:vAlign w:val="center"/>
          </w:tcPr>
          <w:p>
            <w:pPr>
              <w:spacing w:after="0"/>
              <w:jc w:val="left"/>
            </w:pPr>
            <w:r>
              <w:rPr>
                <w:b w:val="0"/>
                <w:sz w:val="17"/>
              </w:rPr>
              <w:t>It controls addition, mixing, time, and documentation</w:t>
            </w:r>
          </w:p>
        </w:tc>
      </w:tr>
      <w:tr>
        <w:tc>
          <w:tcPr>
            <w:tcW w:type="dxa" w:w="3312"/>
            <w:vAlign w:val="center"/>
          </w:tcPr>
          <w:p>
            <w:pPr>
              <w:spacing w:after="0"/>
              <w:jc w:val="left"/>
            </w:pPr>
            <w:r>
              <w:rPr>
                <w:b w:val="0"/>
                <w:sz w:val="17"/>
              </w:rPr>
              <w:t>What NSL can do</w:t>
            </w:r>
          </w:p>
        </w:tc>
        <w:tc>
          <w:tcPr>
            <w:tcW w:type="dxa" w:w="6480"/>
            <w:vAlign w:val="center"/>
          </w:tcPr>
          <w:p>
            <w:pPr>
              <w:spacing w:after="0"/>
              <w:jc w:val="left"/>
            </w:pPr>
            <w:r>
              <w:rPr>
                <w:b w:val="0"/>
                <w:sz w:val="17"/>
              </w:rPr>
              <w:t>Physical handling and conditioning steps</w:t>
            </w:r>
          </w:p>
        </w:tc>
      </w:tr>
      <w:tr>
        <w:tc>
          <w:tcPr>
            <w:tcW w:type="dxa" w:w="3312"/>
            <w:vAlign w:val="center"/>
          </w:tcPr>
          <w:p>
            <w:pPr>
              <w:spacing w:after="0"/>
              <w:jc w:val="left"/>
            </w:pPr>
            <w:r>
              <w:rPr>
                <w:b w:val="0"/>
                <w:sz w:val="17"/>
              </w:rPr>
              <w:t>What remains external</w:t>
            </w:r>
          </w:p>
        </w:tc>
        <w:tc>
          <w:tcPr>
            <w:tcW w:type="dxa" w:w="6480"/>
            <w:vAlign w:val="center"/>
          </w:tcPr>
          <w:p>
            <w:pPr>
              <w:spacing w:after="0"/>
              <w:jc w:val="left"/>
            </w:pPr>
            <w:r>
              <w:rPr>
                <w:b w:val="0"/>
                <w:sz w:val="17"/>
              </w:rPr>
              <w:t>Size, charge, magnetism, biology, and imaging validation</w:t>
            </w:r>
          </w:p>
        </w:tc>
      </w:tr>
      <w:tr>
        <w:tc>
          <w:tcPr>
            <w:tcW w:type="dxa" w:w="3312"/>
            <w:vAlign w:val="center"/>
          </w:tcPr>
          <w:p>
            <w:pPr>
              <w:spacing w:after="0"/>
              <w:jc w:val="left"/>
            </w:pPr>
            <w:r>
              <w:rPr>
                <w:b w:val="0"/>
                <w:sz w:val="17"/>
              </w:rPr>
              <w:t>Why it matters</w:t>
            </w:r>
          </w:p>
        </w:tc>
        <w:tc>
          <w:tcPr>
            <w:tcW w:type="dxa" w:w="6480"/>
            <w:vAlign w:val="center"/>
          </w:tcPr>
          <w:p>
            <w:pPr>
              <w:spacing w:after="0"/>
              <w:jc w:val="left"/>
            </w:pPr>
            <w:r>
              <w:rPr>
                <w:b w:val="0"/>
                <w:sz w:val="17"/>
              </w:rPr>
              <w:t>Surface condition affects downstream theranostic interpretation</w:t>
            </w:r>
          </w:p>
        </w:tc>
      </w:tr>
    </w:tbl>
    <w:p/>
    <w:p>
      <w:pPr>
        <w:pStyle w:val="Heading1"/>
      </w:pPr>
      <w:r>
        <w:t>18. Safety and Handling Considerations</w:t>
      </w:r>
    </w:p>
    <w:p>
      <w:pPr>
        <w:pStyle w:val="ListBullet"/>
        <w:spacing w:after="60" w:line="252" w:lineRule="auto"/>
      </w:pPr>
      <w:r>
        <w:rPr>
          <w:sz w:val="20"/>
        </w:rPr>
        <w:t>Use gloves, lab coat, and eye protection during nanoparticle handling.</w:t>
      </w:r>
    </w:p>
    <w:p>
      <w:pPr>
        <w:pStyle w:val="ListBullet"/>
        <w:spacing w:after="60" w:line="252" w:lineRule="auto"/>
      </w:pPr>
      <w:r>
        <w:rPr>
          <w:sz w:val="20"/>
        </w:rPr>
        <w:t>Avoid inhalation of dry nanoparticle powder. Prefer working with wet dispersions wherever possible.</w:t>
      </w:r>
    </w:p>
    <w:p>
      <w:pPr>
        <w:pStyle w:val="ListBullet"/>
        <w:spacing w:after="60" w:line="252" w:lineRule="auto"/>
      </w:pPr>
      <w:r>
        <w:rPr>
          <w:sz w:val="20"/>
        </w:rPr>
        <w:t>Do not use clinical or animal experiments unless appropriate ethical and regulatory approvals are in place.</w:t>
      </w:r>
    </w:p>
    <w:p>
      <w:pPr>
        <w:pStyle w:val="ListBullet"/>
        <w:spacing w:after="60" w:line="252" w:lineRule="auto"/>
      </w:pPr>
      <w:r>
        <w:rPr>
          <w:sz w:val="20"/>
        </w:rPr>
        <w:t>Use exhaust control when volatile, acidic, or odorous chemicals are involved.</w:t>
      </w:r>
    </w:p>
    <w:p>
      <w:pPr>
        <w:pStyle w:val="ListBullet"/>
        <w:spacing w:after="60" w:line="252" w:lineRule="auto"/>
      </w:pPr>
      <w:r>
        <w:rPr>
          <w:sz w:val="20"/>
        </w:rPr>
        <w:t>Label every batch clearly with coating agent, date, medium, and concentration.</w:t>
      </w:r>
    </w:p>
    <w:p>
      <w:pPr>
        <w:pStyle w:val="ListBullet"/>
        <w:spacing w:after="60" w:line="252" w:lineRule="auto"/>
      </w:pPr>
      <w:r>
        <w:rPr>
          <w:sz w:val="20"/>
        </w:rPr>
        <w:t>Dispose of nanoparticle-containing waste according to laboratory safety rules.</w:t>
      </w:r>
    </w:p>
    <w:p>
      <w:pPr>
        <w:pStyle w:val="ListBullet"/>
        <w:spacing w:after="60" w:line="252" w:lineRule="auto"/>
      </w:pPr>
      <w:r>
        <w:rPr>
          <w:sz w:val="20"/>
        </w:rPr>
        <w:t>Do not present the conditioned particles as diagnostic or therapeutic products.</w:t>
      </w:r>
    </w:p>
    <w:p>
      <w:pPr>
        <w:pStyle w:val="Heading1"/>
      </w:pPr>
      <w:r>
        <w:t>19. Limitations of the Protocol</w:t>
      </w:r>
    </w:p>
    <w:p>
      <w:pPr>
        <w:spacing w:after="120" w:line="259" w:lineRule="auto"/>
      </w:pPr>
      <w:r>
        <w:rPr>
          <w:sz w:val="21"/>
        </w:rPr>
        <w:t>This protocol has a clearly limited scope. It supports preparation and conditioning of a research-scale nanoparticle dispersion, but it does not prove that the dispersion is suitable for any clinical or biological application.</w:t>
      </w:r>
    </w:p>
    <w:p>
      <w:pPr>
        <w:pStyle w:val="ListBullet"/>
        <w:spacing w:after="60" w:line="252" w:lineRule="auto"/>
      </w:pPr>
      <w:r>
        <w:rPr>
          <w:sz w:val="20"/>
        </w:rPr>
        <w:t>It does not synthesize iron oxide nanoparticles from precursor salts unless a separate synthesis protocol is created.</w:t>
      </w:r>
    </w:p>
    <w:p>
      <w:pPr>
        <w:pStyle w:val="ListBullet"/>
        <w:spacing w:after="60" w:line="252" w:lineRule="auto"/>
      </w:pPr>
      <w:r>
        <w:rPr>
          <w:sz w:val="20"/>
        </w:rPr>
        <w:t>It does not confirm particle size or size distribution.</w:t>
      </w:r>
    </w:p>
    <w:p>
      <w:pPr>
        <w:pStyle w:val="ListBullet"/>
        <w:spacing w:after="60" w:line="252" w:lineRule="auto"/>
      </w:pPr>
      <w:r>
        <w:rPr>
          <w:sz w:val="20"/>
        </w:rPr>
        <w:t>It does not confirm zeta potential or surface chemistry.</w:t>
      </w:r>
    </w:p>
    <w:p>
      <w:pPr>
        <w:pStyle w:val="ListBullet"/>
        <w:spacing w:after="60" w:line="252" w:lineRule="auto"/>
      </w:pPr>
      <w:r>
        <w:rPr>
          <w:sz w:val="20"/>
        </w:rPr>
        <w:t>It does not measure magnetic saturation or hyperthermia performance.</w:t>
      </w:r>
    </w:p>
    <w:p>
      <w:pPr>
        <w:pStyle w:val="ListBullet"/>
        <w:spacing w:after="60" w:line="252" w:lineRule="auto"/>
      </w:pPr>
      <w:r>
        <w:rPr>
          <w:sz w:val="20"/>
        </w:rPr>
        <w:t>It does not prove MRI contrast performance or imaging suitability.</w:t>
      </w:r>
    </w:p>
    <w:p>
      <w:pPr>
        <w:pStyle w:val="ListBullet"/>
        <w:spacing w:after="60" w:line="252" w:lineRule="auto"/>
      </w:pPr>
      <w:r>
        <w:rPr>
          <w:sz w:val="20"/>
        </w:rPr>
        <w:t>It does not establish drug-loading or targeting capability.</w:t>
      </w:r>
    </w:p>
    <w:p>
      <w:pPr>
        <w:pStyle w:val="ListBullet"/>
        <w:spacing w:after="60" w:line="252" w:lineRule="auto"/>
      </w:pPr>
      <w:r>
        <w:rPr>
          <w:sz w:val="20"/>
        </w:rPr>
        <w:t>It does not establish cytotoxicity safety, sterility, or in vivo compatibility.</w:t>
      </w:r>
    </w:p>
    <w:p>
      <w:pPr>
        <w:pStyle w:val="ListBullet"/>
        <w:spacing w:after="60" w:line="252" w:lineRule="auto"/>
      </w:pPr>
      <w:r>
        <w:rPr>
          <w:sz w:val="20"/>
        </w:rPr>
        <w:t>It does not replace regulatory validation or GMP manufacturing controls.</w:t>
      </w:r>
    </w:p>
    <w:p>
      <w:pPr>
        <w:pStyle w:val="Heading1"/>
      </w:pPr>
      <w:r>
        <w:t>20. Future Development Possibilities</w:t>
      </w:r>
    </w:p>
    <w:tbl>
      <w:tblPr>
        <w:tblStyle w:val="TableGrid"/>
        <w:tblW w:type="auto" w:w="0"/>
        <w:jc w:val="center"/>
        <w:tblLook w:firstColumn="1" w:firstRow="1" w:lastColumn="0" w:lastRow="0" w:noHBand="0" w:noVBand="1" w:val="04A0"/>
      </w:tblPr>
      <w:tblGrid>
        <w:gridCol w:w="5141"/>
        <w:gridCol w:w="5141"/>
      </w:tblGrid>
      <w:tr>
        <w:tc>
          <w:tcPr>
            <w:tcW w:type="dxa" w:w="4032"/>
            <w:vAlign w:val="center"/>
            <w:shd w:fill="D9EAF7"/>
          </w:tcPr>
          <w:p>
            <w:pPr>
              <w:spacing w:after="0"/>
              <w:jc w:val="left"/>
            </w:pPr>
            <w:r>
              <w:rPr>
                <w:b/>
                <w:sz w:val="17"/>
              </w:rPr>
              <w:t>Future protocol</w:t>
            </w:r>
          </w:p>
        </w:tc>
        <w:tc>
          <w:tcPr>
            <w:tcW w:type="dxa" w:w="5760"/>
            <w:vAlign w:val="center"/>
            <w:shd w:fill="D9EAF7"/>
          </w:tcPr>
          <w:p>
            <w:pPr>
              <w:spacing w:after="0"/>
              <w:jc w:val="left"/>
            </w:pPr>
            <w:r>
              <w:rPr>
                <w:b/>
                <w:sz w:val="17"/>
              </w:rPr>
              <w:t>Purpose</w:t>
            </w:r>
          </w:p>
        </w:tc>
      </w:tr>
      <w:tr>
        <w:tc>
          <w:tcPr>
            <w:tcW w:type="dxa" w:w="4032"/>
            <w:vAlign w:val="center"/>
          </w:tcPr>
          <w:p>
            <w:pPr>
              <w:spacing w:after="0"/>
              <w:jc w:val="left"/>
            </w:pPr>
            <w:r>
              <w:rPr>
                <w:b w:val="0"/>
                <w:sz w:val="17"/>
              </w:rPr>
              <w:t>Citrate-conditioned iron oxide nanoparticle comparison</w:t>
            </w:r>
          </w:p>
        </w:tc>
        <w:tc>
          <w:tcPr>
            <w:tcW w:type="dxa" w:w="5760"/>
            <w:vAlign w:val="center"/>
          </w:tcPr>
          <w:p>
            <w:pPr>
              <w:spacing w:after="0"/>
              <w:jc w:val="left"/>
            </w:pPr>
            <w:r>
              <w:rPr>
                <w:b w:val="0"/>
                <w:sz w:val="17"/>
              </w:rPr>
              <w:t>Evaluate electrostatic stabilization</w:t>
            </w:r>
          </w:p>
        </w:tc>
      </w:tr>
      <w:tr>
        <w:tc>
          <w:tcPr>
            <w:tcW w:type="dxa" w:w="4032"/>
            <w:vAlign w:val="center"/>
          </w:tcPr>
          <w:p>
            <w:pPr>
              <w:spacing w:after="0"/>
              <w:jc w:val="left"/>
            </w:pPr>
            <w:r>
              <w:rPr>
                <w:b w:val="0"/>
                <w:sz w:val="17"/>
              </w:rPr>
              <w:t>Dextran-coated iron oxide nanoparticle model</w:t>
            </w:r>
          </w:p>
        </w:tc>
        <w:tc>
          <w:tcPr>
            <w:tcW w:type="dxa" w:w="5760"/>
            <w:vAlign w:val="center"/>
          </w:tcPr>
          <w:p>
            <w:pPr>
              <w:spacing w:after="0"/>
              <w:jc w:val="left"/>
            </w:pPr>
            <w:r>
              <w:rPr>
                <w:b w:val="0"/>
                <w:sz w:val="17"/>
              </w:rPr>
              <w:t>Develop biomedical coating demonstration</w:t>
            </w:r>
          </w:p>
        </w:tc>
      </w:tr>
      <w:tr>
        <w:tc>
          <w:tcPr>
            <w:tcW w:type="dxa" w:w="4032"/>
            <w:vAlign w:val="center"/>
          </w:tcPr>
          <w:p>
            <w:pPr>
              <w:spacing w:after="0"/>
              <w:jc w:val="left"/>
            </w:pPr>
            <w:r>
              <w:rPr>
                <w:b w:val="0"/>
                <w:sz w:val="17"/>
              </w:rPr>
              <w:t>PEG-stabilized magnetic nanoparticle dispersion</w:t>
            </w:r>
          </w:p>
        </w:tc>
        <w:tc>
          <w:tcPr>
            <w:tcW w:type="dxa" w:w="5760"/>
            <w:vAlign w:val="center"/>
          </w:tcPr>
          <w:p>
            <w:pPr>
              <w:spacing w:after="0"/>
              <w:jc w:val="left"/>
            </w:pPr>
            <w:r>
              <w:rPr>
                <w:b w:val="0"/>
                <w:sz w:val="17"/>
              </w:rPr>
              <w:t>Study steric stabilization and medium compatibility</w:t>
            </w:r>
          </w:p>
        </w:tc>
      </w:tr>
      <w:tr>
        <w:tc>
          <w:tcPr>
            <w:tcW w:type="dxa" w:w="4032"/>
            <w:vAlign w:val="center"/>
          </w:tcPr>
          <w:p>
            <w:pPr>
              <w:spacing w:after="0"/>
              <w:jc w:val="left"/>
            </w:pPr>
            <w:r>
              <w:rPr>
                <w:b w:val="0"/>
                <w:sz w:val="17"/>
              </w:rPr>
              <w:t>Chitosan-coated iron oxide nanoparticles</w:t>
            </w:r>
          </w:p>
        </w:tc>
        <w:tc>
          <w:tcPr>
            <w:tcW w:type="dxa" w:w="5760"/>
            <w:vAlign w:val="center"/>
          </w:tcPr>
          <w:p>
            <w:pPr>
              <w:spacing w:after="0"/>
              <w:jc w:val="left"/>
            </w:pPr>
            <w:r>
              <w:rPr>
                <w:b w:val="0"/>
                <w:sz w:val="17"/>
              </w:rPr>
              <w:t>Link magnetic nanoparticles with biopolymer delivery models</w:t>
            </w:r>
          </w:p>
        </w:tc>
      </w:tr>
      <w:tr>
        <w:tc>
          <w:tcPr>
            <w:tcW w:type="dxa" w:w="4032"/>
            <w:vAlign w:val="center"/>
          </w:tcPr>
          <w:p>
            <w:pPr>
              <w:spacing w:after="0"/>
              <w:jc w:val="left"/>
            </w:pPr>
            <w:r>
              <w:rPr>
                <w:b w:val="0"/>
                <w:sz w:val="17"/>
              </w:rPr>
              <w:t>Folic acid-functionalized iron oxide nanoparticle model</w:t>
            </w:r>
          </w:p>
        </w:tc>
        <w:tc>
          <w:tcPr>
            <w:tcW w:type="dxa" w:w="5760"/>
            <w:vAlign w:val="center"/>
          </w:tcPr>
          <w:p>
            <w:pPr>
              <w:spacing w:after="0"/>
              <w:jc w:val="left"/>
            </w:pPr>
            <w:r>
              <w:rPr>
                <w:b w:val="0"/>
                <w:sz w:val="17"/>
              </w:rPr>
              <w:t>Develop targeting-model protocol</w:t>
            </w:r>
          </w:p>
        </w:tc>
      </w:tr>
      <w:tr>
        <w:tc>
          <w:tcPr>
            <w:tcW w:type="dxa" w:w="4032"/>
            <w:vAlign w:val="center"/>
          </w:tcPr>
          <w:p>
            <w:pPr>
              <w:spacing w:after="0"/>
              <w:jc w:val="left"/>
            </w:pPr>
            <w:r>
              <w:rPr>
                <w:b w:val="0"/>
                <w:sz w:val="17"/>
              </w:rPr>
              <w:t>Iron oxide nanoparticle-hydrogel composite</w:t>
            </w:r>
          </w:p>
        </w:tc>
        <w:tc>
          <w:tcPr>
            <w:tcW w:type="dxa" w:w="5760"/>
            <w:vAlign w:val="center"/>
          </w:tcPr>
          <w:p>
            <w:pPr>
              <w:spacing w:after="0"/>
              <w:jc w:val="left"/>
            </w:pPr>
            <w:r>
              <w:rPr>
                <w:b w:val="0"/>
                <w:sz w:val="17"/>
              </w:rPr>
              <w:t>Create magnetic hydrogel prototype</w:t>
            </w:r>
          </w:p>
        </w:tc>
      </w:tr>
      <w:tr>
        <w:tc>
          <w:tcPr>
            <w:tcW w:type="dxa" w:w="4032"/>
            <w:vAlign w:val="center"/>
          </w:tcPr>
          <w:p>
            <w:pPr>
              <w:spacing w:after="0"/>
              <w:jc w:val="left"/>
            </w:pPr>
            <w:r>
              <w:rPr>
                <w:b w:val="0"/>
                <w:sz w:val="17"/>
              </w:rPr>
              <w:t>Magnetic separation demonstration</w:t>
            </w:r>
          </w:p>
        </w:tc>
        <w:tc>
          <w:tcPr>
            <w:tcW w:type="dxa" w:w="5760"/>
            <w:vAlign w:val="center"/>
          </w:tcPr>
          <w:p>
            <w:pPr>
              <w:spacing w:after="0"/>
              <w:jc w:val="left"/>
            </w:pPr>
            <w:r>
              <w:rPr>
                <w:b w:val="0"/>
                <w:sz w:val="17"/>
              </w:rPr>
              <w:t>Show response to external magnet offline</w:t>
            </w:r>
          </w:p>
        </w:tc>
      </w:tr>
      <w:tr>
        <w:tc>
          <w:tcPr>
            <w:tcW w:type="dxa" w:w="4032"/>
            <w:vAlign w:val="center"/>
          </w:tcPr>
          <w:p>
            <w:pPr>
              <w:spacing w:after="0"/>
              <w:jc w:val="left"/>
            </w:pPr>
            <w:r>
              <w:rPr>
                <w:b w:val="0"/>
                <w:sz w:val="17"/>
              </w:rPr>
              <w:t>Manual vs NSL-assisted conditioning comparison</w:t>
            </w:r>
          </w:p>
        </w:tc>
        <w:tc>
          <w:tcPr>
            <w:tcW w:type="dxa" w:w="5760"/>
            <w:vAlign w:val="center"/>
          </w:tcPr>
          <w:p>
            <w:pPr>
              <w:spacing w:after="0"/>
              <w:jc w:val="left"/>
            </w:pPr>
            <w:r>
              <w:rPr>
                <w:b w:val="0"/>
                <w:sz w:val="17"/>
              </w:rPr>
              <w:t>Demonstrate repeatability and documentation value</w:t>
            </w:r>
          </w:p>
        </w:tc>
      </w:tr>
      <w:tr>
        <w:tc>
          <w:tcPr>
            <w:tcW w:type="dxa" w:w="4032"/>
            <w:vAlign w:val="center"/>
          </w:tcPr>
          <w:p>
            <w:pPr>
              <w:spacing w:after="0"/>
              <w:jc w:val="left"/>
            </w:pPr>
            <w:r>
              <w:rPr>
                <w:b w:val="0"/>
                <w:sz w:val="17"/>
              </w:rPr>
              <w:t>Protein corona study on conditioned iron oxide nanoparticles</w:t>
            </w:r>
          </w:p>
        </w:tc>
        <w:tc>
          <w:tcPr>
            <w:tcW w:type="dxa" w:w="5760"/>
            <w:vAlign w:val="center"/>
          </w:tcPr>
          <w:p>
            <w:pPr>
              <w:spacing w:after="0"/>
              <w:jc w:val="left"/>
            </w:pPr>
            <w:r>
              <w:rPr>
                <w:b w:val="0"/>
                <w:sz w:val="17"/>
              </w:rPr>
              <w:t>Connect with nano-biointerface workflows</w:t>
            </w:r>
          </w:p>
        </w:tc>
      </w:tr>
    </w:tbl>
    <w:p/>
    <w:p>
      <w:pPr>
        <w:pStyle w:val="Heading1"/>
      </w:pPr>
      <w:r>
        <w:t>21. Suggested Supporting Information Summary</w:t>
      </w:r>
    </w:p>
    <w:p>
      <w:pPr>
        <w:spacing w:after="120" w:line="259" w:lineRule="auto"/>
      </w:pPr>
      <w:r>
        <w:rPr>
          <w:sz w:val="21"/>
        </w:rPr>
        <w:t>This protocol demonstrates a Protoly-managed and partially NSL-supported approach for surface conditioning of iron oxide nanoparticles for theranostic model studies. The NSL-supported part mainly covers dispensing, stirring, mild heating, waiting, optional sonication, illumination, camera documentation, exhaust support, and ambient environment recording. These steps help make the conditioning process more repeatable and better documented.</w:t>
      </w:r>
    </w:p>
    <w:p>
      <w:pPr>
        <w:spacing w:after="120" w:line="259" w:lineRule="auto"/>
      </w:pPr>
      <w:r>
        <w:rPr>
          <w:sz w:val="21"/>
        </w:rPr>
        <w:t>The protocol is intended for research, education, and early-stage model development only. It does not independently confirm nanoscale size, surface chemistry, magnetic performance, biological safety, imaging usefulness, therapeutic value, sterility, or regulatory suitability. Such studies require external analytical and biological validation.</w:t>
      </w:r>
    </w:p>
    <w:p>
      <w:pPr>
        <w:spacing w:after="120" w:line="259" w:lineRule="auto"/>
      </w:pPr>
      <w:r>
        <w:rPr>
          <w:sz w:val="21"/>
        </w:rPr>
        <w:t>Overall, the protocol is valuable because it demonstrates how nanoparticle surface preparation can be formalized as a digital workflow. It helps users understand that theranostic performance is not only dependent on the nanoparticle core, but also on surface stability, dispersion quality, coating selection, and carefully documented preparation conditions.</w:t>
      </w:r>
    </w:p>
    <w:sectPr w:rsidR="00FC693F" w:rsidRPr="0006063C" w:rsidSect="00034616">
      <w:footerReference w:type="default" r:id="rId9"/>
      <w:pgSz w:w="12240" w:h="15840"/>
      <w:pgMar w:top="893" w:right="979" w:bottom="893" w:left="9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Protocol_10_details | Supporting Information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