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line="259" w:lineRule="auto"/>
        <w:jc w:val="center"/>
      </w:pPr>
      <w:r>
        <w:rPr>
          <w:b/>
          <w:color w:val="1F4E79"/>
          <w:sz w:val="36"/>
        </w:rPr>
        <w:t>Supporting Information Document</w:t>
      </w:r>
    </w:p>
    <w:p>
      <w:pPr>
        <w:spacing w:after="120" w:line="259" w:lineRule="auto"/>
        <w:jc w:val="center"/>
      </w:pPr>
      <w:r>
        <w:rPr>
          <w:b/>
          <w:color w:val="2E75B6"/>
          <w:sz w:val="28"/>
        </w:rPr>
        <w:t>Protocol 11: Automated Preparation of Folic Acid-Conjugated Nanoparticles for Cancer Cell Targeting Model Development</w:t>
      </w:r>
    </w:p>
    <w:p>
      <w:pPr>
        <w:spacing w:after="120" w:line="259" w:lineRule="auto"/>
        <w:jc w:val="center"/>
      </w:pPr>
      <w:r>
        <w:rPr>
          <w:i/>
          <w:sz w:val="22"/>
        </w:rPr>
        <w:t>Deeper Context, Scientific Intent, Automation Logic, and Webinar Explanation</w:t>
      </w:r>
    </w:p>
    <w:p>
      <w:pPr>
        <w:pStyle w:val="Heading1"/>
        <w:spacing w:after="120" w:line="259" w:lineRule="auto"/>
      </w:pPr>
      <w:r>
        <w:t>1. Support Status on Protoly / NSL</w:t>
      </w:r>
    </w:p>
    <w:p>
      <w:pPr>
        <w:spacing w:after="120" w:line="259" w:lineRule="auto"/>
      </w:pPr>
      <w:r>
        <w:t>This protocol is partially NSL-supported. The NSL platform can assist with the preparation and handling sequence through liquid dispensing, controlled stirring, mild heating, waiting, UV sterilization, illumination, camera-based visual documentation, exhaust control, sonication where required, and ambient chamber environment recording.</w:t>
      </w:r>
    </w:p>
    <w:p>
      <w:pPr>
        <w:spacing w:after="120" w:line="259" w:lineRule="auto"/>
      </w:pPr>
      <w:r>
        <w:t>The protocol should be presented as a research-scale targeting-model workflow. It is not a validated cancer diagnostic, therapeutic, or clinical nanoparticle production method. The NSL-supported part mainly covers the preparation sequence, while molecular confirmation, biological validation, and cancer-cell targeting assessment remain external studies.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NSL-supported action</w:t>
            </w:r>
          </w:p>
        </w:tc>
        <w:tc>
          <w:tcPr>
            <w:tcW w:type="dxa" w:w="5112"/>
            <w:shd w:fill="D9EAF7"/>
            <w:vAlign w:val="center"/>
          </w:tcPr>
          <w:p>
            <w:r/>
            <w:r>
              <w:rPr>
                <w:b/>
                <w:sz w:val="18"/>
              </w:rPr>
              <w:t>Purpose in this protocol</w:t>
            </w:r>
          </w:p>
        </w:tc>
      </w:tr>
      <w:tr>
        <w:tc>
          <w:tcPr>
            <w:tcW w:type="dxa" w:w="5112"/>
            <w:vAlign w:val="top"/>
          </w:tcPr>
          <w:p>
            <w:r/>
            <w:r>
              <w:rPr>
                <w:b w:val="0"/>
                <w:sz w:val="18"/>
              </w:rPr>
              <w:t>Reservoir Dispense</w:t>
            </w:r>
          </w:p>
        </w:tc>
        <w:tc>
          <w:tcPr>
            <w:tcW w:type="dxa" w:w="5112"/>
            <w:vAlign w:val="top"/>
          </w:tcPr>
          <w:p>
            <w:r/>
            <w:r>
              <w:rPr>
                <w:b w:val="0"/>
                <w:sz w:val="18"/>
              </w:rPr>
              <w:t>Addition of nanoparticle dispersion, folic acid solution, linker/activator solution, buffer, washing medium, or stabilizer solution.</w:t>
            </w:r>
          </w:p>
        </w:tc>
      </w:tr>
      <w:tr>
        <w:tc>
          <w:tcPr>
            <w:tcW w:type="dxa" w:w="5112"/>
            <w:vAlign w:val="top"/>
          </w:tcPr>
          <w:p>
            <w:r/>
            <w:r>
              <w:rPr>
                <w:b w:val="0"/>
                <w:sz w:val="18"/>
              </w:rPr>
              <w:t>Stirrer</w:t>
            </w:r>
          </w:p>
        </w:tc>
        <w:tc>
          <w:tcPr>
            <w:tcW w:type="dxa" w:w="5112"/>
            <w:vAlign w:val="top"/>
          </w:tcPr>
          <w:p>
            <w:r/>
            <w:r>
              <w:rPr>
                <w:b w:val="0"/>
                <w:sz w:val="18"/>
              </w:rPr>
              <w:t>Controlled mixing during activation, conjugation, blocking, and stabilization steps.</w:t>
            </w:r>
          </w:p>
        </w:tc>
      </w:tr>
      <w:tr>
        <w:tc>
          <w:tcPr>
            <w:tcW w:type="dxa" w:w="5112"/>
            <w:vAlign w:val="top"/>
          </w:tcPr>
          <w:p>
            <w:r/>
            <w:r>
              <w:rPr>
                <w:b w:val="0"/>
                <w:sz w:val="18"/>
              </w:rPr>
              <w:t>Heater</w:t>
            </w:r>
          </w:p>
        </w:tc>
        <w:tc>
          <w:tcPr>
            <w:tcW w:type="dxa" w:w="5112"/>
            <w:vAlign w:val="top"/>
          </w:tcPr>
          <w:p>
            <w:r/>
            <w:r>
              <w:rPr>
                <w:b w:val="0"/>
                <w:sz w:val="18"/>
              </w:rPr>
              <w:t>Mild temperature support for reaction conditioning where compatible with the material.</w:t>
            </w:r>
          </w:p>
        </w:tc>
      </w:tr>
      <w:tr>
        <w:tc>
          <w:tcPr>
            <w:tcW w:type="dxa" w:w="5112"/>
            <w:vAlign w:val="top"/>
          </w:tcPr>
          <w:p>
            <w:r/>
            <w:r>
              <w:rPr>
                <w:b w:val="0"/>
                <w:sz w:val="18"/>
              </w:rPr>
              <w:t>Wait</w:t>
            </w:r>
          </w:p>
        </w:tc>
        <w:tc>
          <w:tcPr>
            <w:tcW w:type="dxa" w:w="5112"/>
            <w:vAlign w:val="top"/>
          </w:tcPr>
          <w:p>
            <w:r/>
            <w:r>
              <w:rPr>
                <w:b w:val="0"/>
                <w:sz w:val="18"/>
              </w:rPr>
              <w:t>Defined incubation periods for activation, conjugation, and stabilization.</w:t>
            </w:r>
          </w:p>
        </w:tc>
      </w:tr>
      <w:tr>
        <w:tc>
          <w:tcPr>
            <w:tcW w:type="dxa" w:w="5112"/>
            <w:vAlign w:val="top"/>
          </w:tcPr>
          <w:p>
            <w:r/>
            <w:r>
              <w:rPr>
                <w:b w:val="0"/>
                <w:sz w:val="18"/>
              </w:rPr>
              <w:t>Sterilization UV</w:t>
            </w:r>
          </w:p>
        </w:tc>
        <w:tc>
          <w:tcPr>
            <w:tcW w:type="dxa" w:w="5112"/>
            <w:vAlign w:val="top"/>
          </w:tcPr>
          <w:p>
            <w:r/>
            <w:r>
              <w:rPr>
                <w:b w:val="0"/>
                <w:sz w:val="18"/>
              </w:rPr>
              <w:t>Pre-process chamber preparation for clean research-scale handling.</w:t>
            </w:r>
          </w:p>
        </w:tc>
      </w:tr>
      <w:tr>
        <w:tc>
          <w:tcPr>
            <w:tcW w:type="dxa" w:w="5112"/>
            <w:vAlign w:val="top"/>
          </w:tcPr>
          <w:p>
            <w:r/>
            <w:r>
              <w:rPr>
                <w:b w:val="0"/>
                <w:sz w:val="18"/>
              </w:rPr>
              <w:t>LED / UV / IR Illumination</w:t>
            </w:r>
          </w:p>
        </w:tc>
        <w:tc>
          <w:tcPr>
            <w:tcW w:type="dxa" w:w="5112"/>
            <w:vAlign w:val="top"/>
          </w:tcPr>
          <w:p>
            <w:r/>
            <w:r>
              <w:rPr>
                <w:b w:val="0"/>
                <w:sz w:val="18"/>
              </w:rPr>
              <w:t>Illumination support for chamber visibility and camera recording, not quantitative optical analysis.</w:t>
            </w:r>
          </w:p>
        </w:tc>
      </w:tr>
      <w:tr>
        <w:tc>
          <w:tcPr>
            <w:tcW w:type="dxa" w:w="5112"/>
            <w:vAlign w:val="top"/>
          </w:tcPr>
          <w:p>
            <w:r/>
            <w:r>
              <w:rPr>
                <w:b w:val="0"/>
                <w:sz w:val="18"/>
              </w:rPr>
              <w:t>Camera</w:t>
            </w:r>
          </w:p>
        </w:tc>
        <w:tc>
          <w:tcPr>
            <w:tcW w:type="dxa" w:w="5112"/>
            <w:vAlign w:val="top"/>
          </w:tcPr>
          <w:p>
            <w:r/>
            <w:r>
              <w:rPr>
                <w:b w:val="0"/>
                <w:sz w:val="18"/>
              </w:rPr>
              <w:t>Visual documentation of dispersion appearance, sedimentation, turbidity, and color changes.</w:t>
            </w:r>
          </w:p>
        </w:tc>
      </w:tr>
      <w:tr>
        <w:tc>
          <w:tcPr>
            <w:tcW w:type="dxa" w:w="5112"/>
            <w:vAlign w:val="top"/>
          </w:tcPr>
          <w:p>
            <w:r/>
            <w:r>
              <w:rPr>
                <w:b w:val="0"/>
                <w:sz w:val="18"/>
              </w:rPr>
              <w:t>Sonicator / Sonicator Bath Heater</w:t>
            </w:r>
          </w:p>
        </w:tc>
        <w:tc>
          <w:tcPr>
            <w:tcW w:type="dxa" w:w="5112"/>
            <w:vAlign w:val="top"/>
          </w:tcPr>
          <w:p>
            <w:r/>
            <w:r>
              <w:rPr>
                <w:b w:val="0"/>
                <w:sz w:val="18"/>
              </w:rPr>
              <w:t>Optional dispersion support when loose aggregation needs to be reduced.</w:t>
            </w:r>
          </w:p>
        </w:tc>
      </w:tr>
      <w:tr>
        <w:tc>
          <w:tcPr>
            <w:tcW w:type="dxa" w:w="5112"/>
            <w:vAlign w:val="top"/>
          </w:tcPr>
          <w:p>
            <w:r/>
            <w:r>
              <w:rPr>
                <w:b w:val="0"/>
                <w:sz w:val="18"/>
              </w:rPr>
              <w:t>Exhaust and Environment Sensors</w:t>
            </w:r>
          </w:p>
        </w:tc>
        <w:tc>
          <w:tcPr>
            <w:tcW w:type="dxa" w:w="5112"/>
            <w:vAlign w:val="top"/>
          </w:tcPr>
          <w:p>
            <w:r/>
            <w:r>
              <w:rPr>
                <w:b w:val="0"/>
                <w:sz w:val="18"/>
              </w:rPr>
              <w:t>Airflow support and ambient chamber condition record.</w:t>
            </w:r>
          </w:p>
        </w:tc>
      </w:tr>
    </w:tbl>
    <w:p>
      <w:pPr>
        <w:spacing w:after="120" w:line="259" w:lineRule="auto"/>
      </w:pP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Offline / external activity</w:t>
            </w:r>
          </w:p>
        </w:tc>
        <w:tc>
          <w:tcPr>
            <w:tcW w:type="dxa" w:w="5112"/>
            <w:shd w:fill="D9EAF7"/>
            <w:vAlign w:val="center"/>
          </w:tcPr>
          <w:p>
            <w:r/>
            <w:r>
              <w:rPr>
                <w:b/>
                <w:sz w:val="18"/>
              </w:rPr>
              <w:t>Reason it remains external</w:t>
            </w:r>
          </w:p>
        </w:tc>
      </w:tr>
      <w:tr>
        <w:tc>
          <w:tcPr>
            <w:tcW w:type="dxa" w:w="5112"/>
            <w:vAlign w:val="top"/>
          </w:tcPr>
          <w:p>
            <w:r/>
            <w:r>
              <w:rPr>
                <w:b w:val="0"/>
                <w:sz w:val="18"/>
              </w:rPr>
              <w:t>EDC/NHS optimization or chemical verification</w:t>
            </w:r>
          </w:p>
        </w:tc>
        <w:tc>
          <w:tcPr>
            <w:tcW w:type="dxa" w:w="5112"/>
            <w:vAlign w:val="top"/>
          </w:tcPr>
          <w:p>
            <w:r/>
            <w:r>
              <w:rPr>
                <w:b w:val="0"/>
                <w:sz w:val="18"/>
              </w:rPr>
              <w:t>Needs careful chemical control and analytical confirmation.</w:t>
            </w:r>
          </w:p>
        </w:tc>
      </w:tr>
      <w:tr>
        <w:tc>
          <w:tcPr>
            <w:tcW w:type="dxa" w:w="5112"/>
            <w:vAlign w:val="top"/>
          </w:tcPr>
          <w:p>
            <w:r/>
            <w:r>
              <w:rPr>
                <w:b w:val="0"/>
                <w:sz w:val="18"/>
              </w:rPr>
              <w:t>Centrifugation / dialysis / ultrafiltration</w:t>
            </w:r>
          </w:p>
        </w:tc>
        <w:tc>
          <w:tcPr>
            <w:tcW w:type="dxa" w:w="5112"/>
            <w:vAlign w:val="top"/>
          </w:tcPr>
          <w:p>
            <w:r/>
            <w:r>
              <w:rPr>
                <w:b w:val="0"/>
                <w:sz w:val="18"/>
              </w:rPr>
              <w:t>Required for purification but not an NSL module.</w:t>
            </w:r>
          </w:p>
        </w:tc>
      </w:tr>
      <w:tr>
        <w:tc>
          <w:tcPr>
            <w:tcW w:type="dxa" w:w="5112"/>
            <w:vAlign w:val="top"/>
          </w:tcPr>
          <w:p>
            <w:r/>
            <w:r>
              <w:rPr>
                <w:b w:val="0"/>
                <w:sz w:val="18"/>
              </w:rPr>
              <w:t>UV-Vis, fluorescence, FTIR, DLS, zeta potential</w:t>
            </w:r>
          </w:p>
        </w:tc>
        <w:tc>
          <w:tcPr>
            <w:tcW w:type="dxa" w:w="5112"/>
            <w:vAlign w:val="top"/>
          </w:tcPr>
          <w:p>
            <w:r/>
            <w:r>
              <w:rPr>
                <w:b w:val="0"/>
                <w:sz w:val="18"/>
              </w:rPr>
              <w:t>Analytical measurements require external instruments.</w:t>
            </w:r>
          </w:p>
        </w:tc>
      </w:tr>
      <w:tr>
        <w:tc>
          <w:tcPr>
            <w:tcW w:type="dxa" w:w="5112"/>
            <w:vAlign w:val="top"/>
          </w:tcPr>
          <w:p>
            <w:r/>
            <w:r>
              <w:rPr>
                <w:b w:val="0"/>
                <w:sz w:val="18"/>
              </w:rPr>
              <w:t>Folate density estimation</w:t>
            </w:r>
          </w:p>
        </w:tc>
        <w:tc>
          <w:tcPr>
            <w:tcW w:type="dxa" w:w="5112"/>
            <w:vAlign w:val="top"/>
          </w:tcPr>
          <w:p>
            <w:r/>
            <w:r>
              <w:rPr>
                <w:b w:val="0"/>
                <w:sz w:val="18"/>
              </w:rPr>
              <w:t>Requires validated assay or calibration.</w:t>
            </w:r>
          </w:p>
        </w:tc>
      </w:tr>
      <w:tr>
        <w:tc>
          <w:tcPr>
            <w:tcW w:type="dxa" w:w="5112"/>
            <w:vAlign w:val="top"/>
          </w:tcPr>
          <w:p>
            <w:r/>
            <w:r>
              <w:rPr>
                <w:b w:val="0"/>
                <w:sz w:val="18"/>
              </w:rPr>
              <w:t>Cell targeting or uptake study</w:t>
            </w:r>
          </w:p>
        </w:tc>
        <w:tc>
          <w:tcPr>
            <w:tcW w:type="dxa" w:w="5112"/>
            <w:vAlign w:val="top"/>
          </w:tcPr>
          <w:p>
            <w:r/>
            <w:r>
              <w:rPr>
                <w:b w:val="0"/>
                <w:sz w:val="18"/>
              </w:rPr>
              <w:t>Requires cell culture, microscopy/flow cytometry, and biological validation.</w:t>
            </w:r>
          </w:p>
        </w:tc>
      </w:tr>
      <w:tr>
        <w:tc>
          <w:tcPr>
            <w:tcW w:type="dxa" w:w="5112"/>
            <w:vAlign w:val="top"/>
          </w:tcPr>
          <w:p>
            <w:r/>
            <w:r>
              <w:rPr>
                <w:b w:val="0"/>
                <w:sz w:val="18"/>
              </w:rPr>
              <w:t>Cytotoxicity and safety testing</w:t>
            </w:r>
          </w:p>
        </w:tc>
        <w:tc>
          <w:tcPr>
            <w:tcW w:type="dxa" w:w="5112"/>
            <w:vAlign w:val="top"/>
          </w:tcPr>
          <w:p>
            <w:r/>
            <w:r>
              <w:rPr>
                <w:b w:val="0"/>
                <w:sz w:val="18"/>
              </w:rPr>
              <w:t>Requires validated biological assays.</w:t>
            </w:r>
          </w:p>
        </w:tc>
      </w:tr>
    </w:tbl>
    <w:p>
      <w:pPr>
        <w:spacing w:after="120" w:line="259" w:lineRule="auto"/>
      </w:pPr>
    </w:p>
    <w:p>
      <w:pPr>
        <w:pStyle w:val="Heading1"/>
        <w:spacing w:after="120" w:line="259" w:lineRule="auto"/>
      </w:pPr>
      <w:r>
        <w:t>2. Purpose of This Supporting Information</w:t>
      </w:r>
    </w:p>
    <w:p>
      <w:pPr>
        <w:spacing w:after="120" w:line="259" w:lineRule="auto"/>
      </w:pPr>
      <w:r>
        <w:t>The main Protoly protocol contains the fillable operational sections. This supporting information document explains the deeper purpose, scientific rationale, targeting concept, automation value, interpretation plan, and limitations of the folic acid-conjugated nanoparticle workflow.</w:t>
      </w:r>
    </w:p>
    <w:p>
      <w:pPr>
        <w:spacing w:after="120" w:line="259" w:lineRule="auto"/>
      </w:pPr>
      <w:r>
        <w:t>This document is intended to help webinar participants and Protoly users understand why folic acid is selected, how nanoparticle functionalization is approached at a model level, what NSL can realistically support, and what must be validated separately. It gives context without treating the preparation as a ready-to-use cancer therapy or diagnostic product.</w:t>
      </w:r>
    </w:p>
    <w:p>
      <w:pPr>
        <w:pStyle w:val="Heading1"/>
        <w:spacing w:after="120" w:line="259" w:lineRule="auto"/>
      </w:pPr>
      <w:r>
        <w:t>3. Overall Concept of the Protocol</w:t>
      </w:r>
    </w:p>
    <w:p>
      <w:pPr>
        <w:spacing w:after="120" w:line="259" w:lineRule="auto"/>
      </w:pPr>
      <w:r>
        <w:t>The central concept is to prepare nanoparticles carrying folic acid on their surface so that the system can be studied as a cancer-cell targeting model. Folic acid is used because folate receptors are overexpressed in several cancer-related cell models, and folate-functionalized nanomaterials are frequently explored for targeted delivery and imaging research.</w:t>
      </w:r>
    </w:p>
    <w:p>
      <w:pPr>
        <w:spacing w:after="120" w:line="259" w:lineRule="auto"/>
      </w:pPr>
      <w:r>
        <w:t>In this protocol, a nanoparticle dispersion is treated as the base material. Folic acid or a folate-containing linker is introduced under controlled conditions so that it may associate with, adsorb onto, or covalently conjugate to the nanoparticle surface, depending on the selected chemistry. The resulting dispersion is a research model for targeted nanomaterial preparation.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Workflow stage</w:t>
            </w:r>
          </w:p>
        </w:tc>
        <w:tc>
          <w:tcPr>
            <w:tcW w:type="dxa" w:w="5112"/>
            <w:shd w:fill="D9EAF7"/>
            <w:vAlign w:val="center"/>
          </w:tcPr>
          <w:p>
            <w:r/>
            <w:r>
              <w:rPr>
                <w:b/>
                <w:sz w:val="18"/>
              </w:rPr>
              <w:t>Conceptual meaning</w:t>
            </w:r>
          </w:p>
        </w:tc>
      </w:tr>
      <w:tr>
        <w:tc>
          <w:tcPr>
            <w:tcW w:type="dxa" w:w="5112"/>
            <w:vAlign w:val="top"/>
          </w:tcPr>
          <w:p>
            <w:r/>
            <w:r>
              <w:rPr>
                <w:b w:val="0"/>
                <w:sz w:val="18"/>
              </w:rPr>
              <w:t>Base nanoparticle dispersion</w:t>
            </w:r>
          </w:p>
        </w:tc>
        <w:tc>
          <w:tcPr>
            <w:tcW w:type="dxa" w:w="5112"/>
            <w:vAlign w:val="top"/>
          </w:tcPr>
          <w:p>
            <w:r/>
            <w:r>
              <w:rPr>
                <w:b w:val="0"/>
                <w:sz w:val="18"/>
              </w:rPr>
              <w:t>Provides the nanocarrier platform.</w:t>
            </w:r>
          </w:p>
        </w:tc>
      </w:tr>
      <w:tr>
        <w:tc>
          <w:tcPr>
            <w:tcW w:type="dxa" w:w="5112"/>
            <w:vAlign w:val="top"/>
          </w:tcPr>
          <w:p>
            <w:r/>
            <w:r>
              <w:rPr>
                <w:b w:val="0"/>
                <w:sz w:val="18"/>
              </w:rPr>
              <w:t>Surface activation or conditioning</w:t>
            </w:r>
          </w:p>
        </w:tc>
        <w:tc>
          <w:tcPr>
            <w:tcW w:type="dxa" w:w="5112"/>
            <w:vAlign w:val="top"/>
          </w:tcPr>
          <w:p>
            <w:r/>
            <w:r>
              <w:rPr>
                <w:b w:val="0"/>
                <w:sz w:val="18"/>
              </w:rPr>
              <w:t>Prepares the nanoparticle surface for folate attachment where applicable.</w:t>
            </w:r>
          </w:p>
        </w:tc>
      </w:tr>
      <w:tr>
        <w:tc>
          <w:tcPr>
            <w:tcW w:type="dxa" w:w="5112"/>
            <w:vAlign w:val="top"/>
          </w:tcPr>
          <w:p>
            <w:r/>
            <w:r>
              <w:rPr>
                <w:b w:val="0"/>
                <w:sz w:val="18"/>
              </w:rPr>
              <w:t>Folic acid addition</w:t>
            </w:r>
          </w:p>
        </w:tc>
        <w:tc>
          <w:tcPr>
            <w:tcW w:type="dxa" w:w="5112"/>
            <w:vAlign w:val="top"/>
          </w:tcPr>
          <w:p>
            <w:r/>
            <w:r>
              <w:rPr>
                <w:b w:val="0"/>
                <w:sz w:val="18"/>
              </w:rPr>
              <w:t>Introduces the targeting ligand.</w:t>
            </w:r>
          </w:p>
        </w:tc>
      </w:tr>
      <w:tr>
        <w:tc>
          <w:tcPr>
            <w:tcW w:type="dxa" w:w="5112"/>
            <w:vAlign w:val="top"/>
          </w:tcPr>
          <w:p>
            <w:r/>
            <w:r>
              <w:rPr>
                <w:b w:val="0"/>
                <w:sz w:val="18"/>
              </w:rPr>
              <w:t>Incubation under mixing</w:t>
            </w:r>
          </w:p>
        </w:tc>
        <w:tc>
          <w:tcPr>
            <w:tcW w:type="dxa" w:w="5112"/>
            <w:vAlign w:val="top"/>
          </w:tcPr>
          <w:p>
            <w:r/>
            <w:r>
              <w:rPr>
                <w:b w:val="0"/>
                <w:sz w:val="18"/>
              </w:rPr>
              <w:t>Allows conjugation or surface association to proceed.</w:t>
            </w:r>
          </w:p>
        </w:tc>
      </w:tr>
      <w:tr>
        <w:tc>
          <w:tcPr>
            <w:tcW w:type="dxa" w:w="5112"/>
            <w:vAlign w:val="top"/>
          </w:tcPr>
          <w:p>
            <w:r/>
            <w:r>
              <w:rPr>
                <w:b w:val="0"/>
                <w:sz w:val="18"/>
              </w:rPr>
              <w:t>Purification</w:t>
            </w:r>
          </w:p>
        </w:tc>
        <w:tc>
          <w:tcPr>
            <w:tcW w:type="dxa" w:w="5112"/>
            <w:vAlign w:val="top"/>
          </w:tcPr>
          <w:p>
            <w:r/>
            <w:r>
              <w:rPr>
                <w:b w:val="0"/>
                <w:sz w:val="18"/>
              </w:rPr>
              <w:t>Removes unbound folic acid or residual activators.</w:t>
            </w:r>
          </w:p>
        </w:tc>
      </w:tr>
      <w:tr>
        <w:tc>
          <w:tcPr>
            <w:tcW w:type="dxa" w:w="5112"/>
            <w:vAlign w:val="top"/>
          </w:tcPr>
          <w:p>
            <w:r/>
            <w:r>
              <w:rPr>
                <w:b w:val="0"/>
                <w:sz w:val="18"/>
              </w:rPr>
              <w:t>External characterization</w:t>
            </w:r>
          </w:p>
        </w:tc>
        <w:tc>
          <w:tcPr>
            <w:tcW w:type="dxa" w:w="5112"/>
            <w:vAlign w:val="top"/>
          </w:tcPr>
          <w:p>
            <w:r/>
            <w:r>
              <w:rPr>
                <w:b w:val="0"/>
                <w:sz w:val="18"/>
              </w:rPr>
              <w:t>Confirms size, charge, folate attachment, and stability.</w:t>
            </w:r>
          </w:p>
        </w:tc>
      </w:tr>
      <w:tr>
        <w:tc>
          <w:tcPr>
            <w:tcW w:type="dxa" w:w="5112"/>
            <w:vAlign w:val="top"/>
          </w:tcPr>
          <w:p>
            <w:r/>
            <w:r>
              <w:rPr>
                <w:b w:val="0"/>
                <w:sz w:val="18"/>
              </w:rPr>
              <w:t>Biological targeting study</w:t>
            </w:r>
          </w:p>
        </w:tc>
        <w:tc>
          <w:tcPr>
            <w:tcW w:type="dxa" w:w="5112"/>
            <w:vAlign w:val="top"/>
          </w:tcPr>
          <w:p>
            <w:r/>
            <w:r>
              <w:rPr>
                <w:b w:val="0"/>
                <w:sz w:val="18"/>
              </w:rPr>
              <w:t>Evaluates whether folate modification improves cell association in a suitable model.</w:t>
            </w:r>
          </w:p>
        </w:tc>
      </w:tr>
    </w:tbl>
    <w:p>
      <w:pPr>
        <w:spacing w:after="120" w:line="259" w:lineRule="auto"/>
      </w:pPr>
    </w:p>
    <w:p>
      <w:pPr>
        <w:pStyle w:val="Heading1"/>
        <w:spacing w:after="120" w:line="259" w:lineRule="auto"/>
      </w:pPr>
      <w:r>
        <w:t>4. Why Folic Acid Is Used as a Targeting Ligand</w:t>
      </w:r>
    </w:p>
    <w:p>
      <w:pPr>
        <w:spacing w:after="120" w:line="259" w:lineRule="auto"/>
      </w:pPr>
      <w:r>
        <w:t>Folic acid is a useful ligand for demonstrating targeted nanoparticle design because it is small, relatively stable, and biologically meaningful. It can interact with folate receptor-mediated pathways in suitable cell models, which makes it a common example for teaching receptor-targeted nanocarrier concepts.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Feature of folic acid</w:t>
            </w:r>
          </w:p>
        </w:tc>
        <w:tc>
          <w:tcPr>
            <w:tcW w:type="dxa" w:w="5112"/>
            <w:shd w:fill="D9EAF7"/>
            <w:vAlign w:val="center"/>
          </w:tcPr>
          <w:p>
            <w:r/>
            <w:r>
              <w:rPr>
                <w:b/>
                <w:sz w:val="18"/>
              </w:rPr>
              <w:t>Relevance to targeting-model development</w:t>
            </w:r>
          </w:p>
        </w:tc>
      </w:tr>
      <w:tr>
        <w:tc>
          <w:tcPr>
            <w:tcW w:type="dxa" w:w="5112"/>
            <w:vAlign w:val="top"/>
          </w:tcPr>
          <w:p>
            <w:r/>
            <w:r>
              <w:rPr>
                <w:b w:val="0"/>
                <w:sz w:val="18"/>
              </w:rPr>
              <w:t>Small molecular ligand</w:t>
            </w:r>
          </w:p>
        </w:tc>
        <w:tc>
          <w:tcPr>
            <w:tcW w:type="dxa" w:w="5112"/>
            <w:vAlign w:val="top"/>
          </w:tcPr>
          <w:p>
            <w:r/>
            <w:r>
              <w:rPr>
                <w:b w:val="0"/>
                <w:sz w:val="18"/>
              </w:rPr>
              <w:t>Can be attached to nanoparticle surfaces with less steric bulk than large proteins.</w:t>
            </w:r>
          </w:p>
        </w:tc>
      </w:tr>
      <w:tr>
        <w:tc>
          <w:tcPr>
            <w:tcW w:type="dxa" w:w="5112"/>
            <w:vAlign w:val="top"/>
          </w:tcPr>
          <w:p>
            <w:r/>
            <w:r>
              <w:rPr>
                <w:b w:val="0"/>
                <w:sz w:val="18"/>
              </w:rPr>
              <w:t>Recognizable biological role</w:t>
            </w:r>
          </w:p>
        </w:tc>
        <w:tc>
          <w:tcPr>
            <w:tcW w:type="dxa" w:w="5112"/>
            <w:vAlign w:val="top"/>
          </w:tcPr>
          <w:p>
            <w:r/>
            <w:r>
              <w:rPr>
                <w:b w:val="0"/>
                <w:sz w:val="18"/>
              </w:rPr>
              <w:t>Supports discussion of receptor-mediated uptake models.</w:t>
            </w:r>
          </w:p>
        </w:tc>
      </w:tr>
      <w:tr>
        <w:tc>
          <w:tcPr>
            <w:tcW w:type="dxa" w:w="5112"/>
            <w:vAlign w:val="top"/>
          </w:tcPr>
          <w:p>
            <w:r/>
            <w:r>
              <w:rPr>
                <w:b w:val="0"/>
                <w:sz w:val="18"/>
              </w:rPr>
              <w:t>Widely used research ligand</w:t>
            </w:r>
          </w:p>
        </w:tc>
        <w:tc>
          <w:tcPr>
            <w:tcW w:type="dxa" w:w="5112"/>
            <w:vAlign w:val="top"/>
          </w:tcPr>
          <w:p>
            <w:r/>
            <w:r>
              <w:rPr>
                <w:b w:val="0"/>
                <w:sz w:val="18"/>
              </w:rPr>
              <w:t>Suitable for explaining ligand-functionalized nanomaterials.</w:t>
            </w:r>
          </w:p>
        </w:tc>
      </w:tr>
      <w:tr>
        <w:tc>
          <w:tcPr>
            <w:tcW w:type="dxa" w:w="5112"/>
            <w:vAlign w:val="top"/>
          </w:tcPr>
          <w:p>
            <w:r/>
            <w:r>
              <w:rPr>
                <w:b w:val="0"/>
                <w:sz w:val="18"/>
              </w:rPr>
              <w:t>Surface-functionalization compatibility</w:t>
            </w:r>
          </w:p>
        </w:tc>
        <w:tc>
          <w:tcPr>
            <w:tcW w:type="dxa" w:w="5112"/>
            <w:vAlign w:val="top"/>
          </w:tcPr>
          <w:p>
            <w:r/>
            <w:r>
              <w:rPr>
                <w:b w:val="0"/>
                <w:sz w:val="18"/>
              </w:rPr>
              <w:t>Can be linked through carboxyl-group chemistry or adsorptive approaches depending on the nanoparticle surface.</w:t>
            </w:r>
          </w:p>
        </w:tc>
      </w:tr>
      <w:tr>
        <w:tc>
          <w:tcPr>
            <w:tcW w:type="dxa" w:w="5112"/>
            <w:vAlign w:val="top"/>
          </w:tcPr>
          <w:p>
            <w:r/>
            <w:r>
              <w:rPr>
                <w:b w:val="0"/>
                <w:sz w:val="18"/>
              </w:rPr>
              <w:t>Educational clarity</w:t>
            </w:r>
          </w:p>
        </w:tc>
        <w:tc>
          <w:tcPr>
            <w:tcW w:type="dxa" w:w="5112"/>
            <w:vAlign w:val="top"/>
          </w:tcPr>
          <w:p>
            <w:r/>
            <w:r>
              <w:rPr>
                <w:b w:val="0"/>
                <w:sz w:val="18"/>
              </w:rPr>
              <w:t>Easy to explain to students, researchers, and startup participants.</w:t>
            </w:r>
          </w:p>
        </w:tc>
      </w:tr>
    </w:tbl>
    <w:p>
      <w:pPr>
        <w:spacing w:after="120" w:line="259" w:lineRule="auto"/>
      </w:pPr>
    </w:p>
    <w:p>
      <w:pPr>
        <w:spacing w:after="120" w:line="259" w:lineRule="auto"/>
      </w:pPr>
      <w:r>
        <w:t>The use of folic acid in this protocol should be described as a model approach. It does not automatically prove cancer targeting, selective toxicity, or therapeutic benefit. Those claims require biological testing using suitable folate receptor-positive and receptor-negative controls.</w:t>
      </w:r>
    </w:p>
    <w:p>
      <w:pPr>
        <w:pStyle w:val="Heading1"/>
        <w:spacing w:after="120" w:line="259" w:lineRule="auto"/>
      </w:pPr>
      <w:r>
        <w:t>5. Scientific Background</w:t>
      </w:r>
    </w:p>
    <w:p>
      <w:pPr>
        <w:spacing w:after="120" w:line="259" w:lineRule="auto"/>
      </w:pPr>
      <w:r>
        <w:t>Nanoparticle surface functionalization is one of the key strategies in nanomedicine research. The surface of a nanoparticle can be modified with polymers, proteins, antibodies, peptides, sugars, or small molecules to change its biological interactions. Folic acid conjugation is one example of ligand-based functionalization.</w:t>
      </w:r>
    </w:p>
    <w:p>
      <w:pPr>
        <w:spacing w:after="120" w:line="259" w:lineRule="auto"/>
      </w:pPr>
      <w:r>
        <w:t>The final behaviour of a folate-conjugated nanoparticle depends not only on the presence of folic acid, but also on the base nanoparticle material, surface charge, linker chemistry, ligand density, colloidal stability, particle size, and biological environment. Poorly controlled conjugation can cause aggregation, loss of surface activity, or non-specific interactions.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Factor</w:t>
            </w:r>
          </w:p>
        </w:tc>
        <w:tc>
          <w:tcPr>
            <w:tcW w:type="dxa" w:w="5112"/>
            <w:shd w:fill="D9EAF7"/>
            <w:vAlign w:val="center"/>
          </w:tcPr>
          <w:p>
            <w:r/>
            <w:r>
              <w:rPr>
                <w:b/>
                <w:sz w:val="18"/>
              </w:rPr>
              <w:t>Effect on final system</w:t>
            </w:r>
          </w:p>
        </w:tc>
      </w:tr>
      <w:tr>
        <w:tc>
          <w:tcPr>
            <w:tcW w:type="dxa" w:w="5112"/>
            <w:vAlign w:val="top"/>
          </w:tcPr>
          <w:p>
            <w:r/>
            <w:r>
              <w:rPr>
                <w:b w:val="0"/>
                <w:sz w:val="18"/>
              </w:rPr>
              <w:t>Base nanoparticle material</w:t>
            </w:r>
          </w:p>
        </w:tc>
        <w:tc>
          <w:tcPr>
            <w:tcW w:type="dxa" w:w="5112"/>
            <w:vAlign w:val="top"/>
          </w:tcPr>
          <w:p>
            <w:r/>
            <w:r>
              <w:rPr>
                <w:b w:val="0"/>
                <w:sz w:val="18"/>
              </w:rPr>
              <w:t>Influences surface chemistry and biological compatibility.</w:t>
            </w:r>
          </w:p>
        </w:tc>
      </w:tr>
      <w:tr>
        <w:tc>
          <w:tcPr>
            <w:tcW w:type="dxa" w:w="5112"/>
            <w:vAlign w:val="top"/>
          </w:tcPr>
          <w:p>
            <w:r/>
            <w:r>
              <w:rPr>
                <w:b w:val="0"/>
                <w:sz w:val="18"/>
              </w:rPr>
              <w:t>Particle size</w:t>
            </w:r>
          </w:p>
        </w:tc>
        <w:tc>
          <w:tcPr>
            <w:tcW w:type="dxa" w:w="5112"/>
            <w:vAlign w:val="top"/>
          </w:tcPr>
          <w:p>
            <w:r/>
            <w:r>
              <w:rPr>
                <w:b w:val="0"/>
                <w:sz w:val="18"/>
              </w:rPr>
              <w:t>Affects stability, uptake, and biodistribution model behaviour.</w:t>
            </w:r>
          </w:p>
        </w:tc>
      </w:tr>
      <w:tr>
        <w:tc>
          <w:tcPr>
            <w:tcW w:type="dxa" w:w="5112"/>
            <w:vAlign w:val="top"/>
          </w:tcPr>
          <w:p>
            <w:r/>
            <w:r>
              <w:rPr>
                <w:b w:val="0"/>
                <w:sz w:val="18"/>
              </w:rPr>
              <w:t>Surface charge</w:t>
            </w:r>
          </w:p>
        </w:tc>
        <w:tc>
          <w:tcPr>
            <w:tcW w:type="dxa" w:w="5112"/>
            <w:vAlign w:val="top"/>
          </w:tcPr>
          <w:p>
            <w:r/>
            <w:r>
              <w:rPr>
                <w:b w:val="0"/>
                <w:sz w:val="18"/>
              </w:rPr>
              <w:t>Influences colloidal stability and cell interaction.</w:t>
            </w:r>
          </w:p>
        </w:tc>
      </w:tr>
      <w:tr>
        <w:tc>
          <w:tcPr>
            <w:tcW w:type="dxa" w:w="5112"/>
            <w:vAlign w:val="top"/>
          </w:tcPr>
          <w:p>
            <w:r/>
            <w:r>
              <w:rPr>
                <w:b w:val="0"/>
                <w:sz w:val="18"/>
              </w:rPr>
              <w:t>Linker chemistry</w:t>
            </w:r>
          </w:p>
        </w:tc>
        <w:tc>
          <w:tcPr>
            <w:tcW w:type="dxa" w:w="5112"/>
            <w:vAlign w:val="top"/>
          </w:tcPr>
          <w:p>
            <w:r/>
            <w:r>
              <w:rPr>
                <w:b w:val="0"/>
                <w:sz w:val="18"/>
              </w:rPr>
              <w:t>Controls how folic acid is attached.</w:t>
            </w:r>
          </w:p>
        </w:tc>
      </w:tr>
      <w:tr>
        <w:tc>
          <w:tcPr>
            <w:tcW w:type="dxa" w:w="5112"/>
            <w:vAlign w:val="top"/>
          </w:tcPr>
          <w:p>
            <w:r/>
            <w:r>
              <w:rPr>
                <w:b w:val="0"/>
                <w:sz w:val="18"/>
              </w:rPr>
              <w:t>Folic acid density</w:t>
            </w:r>
          </w:p>
        </w:tc>
        <w:tc>
          <w:tcPr>
            <w:tcW w:type="dxa" w:w="5112"/>
            <w:vAlign w:val="top"/>
          </w:tcPr>
          <w:p>
            <w:r/>
            <w:r>
              <w:rPr>
                <w:b w:val="0"/>
                <w:sz w:val="18"/>
              </w:rPr>
              <w:t>Affects receptor-interaction potential and steric effects.</w:t>
            </w:r>
          </w:p>
        </w:tc>
      </w:tr>
      <w:tr>
        <w:tc>
          <w:tcPr>
            <w:tcW w:type="dxa" w:w="5112"/>
            <w:vAlign w:val="top"/>
          </w:tcPr>
          <w:p>
            <w:r/>
            <w:r>
              <w:rPr>
                <w:b w:val="0"/>
                <w:sz w:val="18"/>
              </w:rPr>
              <w:t>Purification quality</w:t>
            </w:r>
          </w:p>
        </w:tc>
        <w:tc>
          <w:tcPr>
            <w:tcW w:type="dxa" w:w="5112"/>
            <w:vAlign w:val="top"/>
          </w:tcPr>
          <w:p>
            <w:r/>
            <w:r>
              <w:rPr>
                <w:b w:val="0"/>
                <w:sz w:val="18"/>
              </w:rPr>
              <w:t>Determines removal of unbound ligand and residual reagents.</w:t>
            </w:r>
          </w:p>
        </w:tc>
      </w:tr>
      <w:tr>
        <w:tc>
          <w:tcPr>
            <w:tcW w:type="dxa" w:w="5112"/>
            <w:vAlign w:val="top"/>
          </w:tcPr>
          <w:p>
            <w:r/>
            <w:r>
              <w:rPr>
                <w:b w:val="0"/>
                <w:sz w:val="18"/>
              </w:rPr>
              <w:t>Protein corona formation</w:t>
            </w:r>
          </w:p>
        </w:tc>
        <w:tc>
          <w:tcPr>
            <w:tcW w:type="dxa" w:w="5112"/>
            <w:vAlign w:val="top"/>
          </w:tcPr>
          <w:p>
            <w:r/>
            <w:r>
              <w:rPr>
                <w:b w:val="0"/>
                <w:sz w:val="18"/>
              </w:rPr>
              <w:t>May mask targeting ligands in biological media.</w:t>
            </w:r>
          </w:p>
        </w:tc>
      </w:tr>
    </w:tbl>
    <w:p>
      <w:pPr>
        <w:spacing w:after="120" w:line="259" w:lineRule="auto"/>
      </w:pPr>
    </w:p>
    <w:p>
      <w:pPr>
        <w:pStyle w:val="Heading1"/>
        <w:spacing w:after="120" w:line="259" w:lineRule="auto"/>
      </w:pPr>
      <w:r>
        <w:t>6. Suitable Nanoparticle Platforms</w:t>
      </w:r>
    </w:p>
    <w:p>
      <w:pPr>
        <w:spacing w:after="120" w:line="259" w:lineRule="auto"/>
      </w:pPr>
      <w:r>
        <w:t>This protocol can be adapted to several nanoparticle platforms, provided the surface chemistry is suitable for folic acid attachment or association. The wording should remain flexible because Protoly may host several variants of the same conceptual workflow.</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Nanoparticle type</w:t>
            </w:r>
          </w:p>
        </w:tc>
        <w:tc>
          <w:tcPr>
            <w:tcW w:type="dxa" w:w="5112"/>
            <w:shd w:fill="D9EAF7"/>
            <w:vAlign w:val="center"/>
          </w:tcPr>
          <w:p>
            <w:r/>
            <w:r>
              <w:rPr>
                <w:b/>
                <w:sz w:val="18"/>
              </w:rPr>
              <w:t>Possible role in this protocol</w:t>
            </w:r>
          </w:p>
        </w:tc>
      </w:tr>
      <w:tr>
        <w:tc>
          <w:tcPr>
            <w:tcW w:type="dxa" w:w="5112"/>
            <w:vAlign w:val="top"/>
          </w:tcPr>
          <w:p>
            <w:r/>
            <w:r>
              <w:rPr>
                <w:b w:val="0"/>
                <w:sz w:val="18"/>
              </w:rPr>
              <w:t>Chitosan nanoparticles</w:t>
            </w:r>
          </w:p>
        </w:tc>
        <w:tc>
          <w:tcPr>
            <w:tcW w:type="dxa" w:w="5112"/>
            <w:vAlign w:val="top"/>
          </w:tcPr>
          <w:p>
            <w:r/>
            <w:r>
              <w:rPr>
                <w:b w:val="0"/>
                <w:sz w:val="18"/>
              </w:rPr>
              <w:t>Useful polymeric carrier model with functional groups that can support surface modification.</w:t>
            </w:r>
          </w:p>
        </w:tc>
      </w:tr>
      <w:tr>
        <w:tc>
          <w:tcPr>
            <w:tcW w:type="dxa" w:w="5112"/>
            <w:vAlign w:val="top"/>
          </w:tcPr>
          <w:p>
            <w:r/>
            <w:r>
              <w:rPr>
                <w:b w:val="0"/>
                <w:sz w:val="18"/>
              </w:rPr>
              <w:t>Iron oxide nanoparticles</w:t>
            </w:r>
          </w:p>
        </w:tc>
        <w:tc>
          <w:tcPr>
            <w:tcW w:type="dxa" w:w="5112"/>
            <w:vAlign w:val="top"/>
          </w:tcPr>
          <w:p>
            <w:r/>
            <w:r>
              <w:rPr>
                <w:b w:val="0"/>
                <w:sz w:val="18"/>
              </w:rPr>
              <w:t>Useful for theranostic or imaging-model discussions.</w:t>
            </w:r>
          </w:p>
        </w:tc>
      </w:tr>
      <w:tr>
        <w:tc>
          <w:tcPr>
            <w:tcW w:type="dxa" w:w="5112"/>
            <w:vAlign w:val="top"/>
          </w:tcPr>
          <w:p>
            <w:r/>
            <w:r>
              <w:rPr>
                <w:b w:val="0"/>
                <w:sz w:val="18"/>
              </w:rPr>
              <w:t>Gold nanoparticles</w:t>
            </w:r>
          </w:p>
        </w:tc>
        <w:tc>
          <w:tcPr>
            <w:tcW w:type="dxa" w:w="5112"/>
            <w:vAlign w:val="top"/>
          </w:tcPr>
          <w:p>
            <w:r/>
            <w:r>
              <w:rPr>
                <w:b w:val="0"/>
                <w:sz w:val="18"/>
              </w:rPr>
              <w:t>Useful for optical tracking and surface chemistry demonstration.</w:t>
            </w:r>
          </w:p>
        </w:tc>
      </w:tr>
      <w:tr>
        <w:tc>
          <w:tcPr>
            <w:tcW w:type="dxa" w:w="5112"/>
            <w:vAlign w:val="top"/>
          </w:tcPr>
          <w:p>
            <w:r/>
            <w:r>
              <w:rPr>
                <w:b w:val="0"/>
                <w:sz w:val="18"/>
              </w:rPr>
              <w:t>Silver nanoparticles</w:t>
            </w:r>
          </w:p>
        </w:tc>
        <w:tc>
          <w:tcPr>
            <w:tcW w:type="dxa" w:w="5112"/>
            <w:vAlign w:val="top"/>
          </w:tcPr>
          <w:p>
            <w:r/>
            <w:r>
              <w:rPr>
                <w:b w:val="0"/>
                <w:sz w:val="18"/>
              </w:rPr>
              <w:t>Useful for nanobiointeraction model studies; biological claims require caution.</w:t>
            </w:r>
          </w:p>
        </w:tc>
      </w:tr>
      <w:tr>
        <w:tc>
          <w:tcPr>
            <w:tcW w:type="dxa" w:w="5112"/>
            <w:vAlign w:val="top"/>
          </w:tcPr>
          <w:p>
            <w:r/>
            <w:r>
              <w:rPr>
                <w:b w:val="0"/>
                <w:sz w:val="18"/>
              </w:rPr>
              <w:t>PLGA or polymeric nanoparticles</w:t>
            </w:r>
          </w:p>
        </w:tc>
        <w:tc>
          <w:tcPr>
            <w:tcW w:type="dxa" w:w="5112"/>
            <w:vAlign w:val="top"/>
          </w:tcPr>
          <w:p>
            <w:r/>
            <w:r>
              <w:rPr>
                <w:b w:val="0"/>
                <w:sz w:val="18"/>
              </w:rPr>
              <w:t>Useful for drug delivery carrier models if available externally.</w:t>
            </w:r>
          </w:p>
        </w:tc>
      </w:tr>
      <w:tr>
        <w:tc>
          <w:tcPr>
            <w:tcW w:type="dxa" w:w="5112"/>
            <w:vAlign w:val="top"/>
          </w:tcPr>
          <w:p>
            <w:r/>
            <w:r>
              <w:rPr>
                <w:b w:val="0"/>
                <w:sz w:val="18"/>
              </w:rPr>
              <w:t>Liposomes</w:t>
            </w:r>
          </w:p>
        </w:tc>
        <w:tc>
          <w:tcPr>
            <w:tcW w:type="dxa" w:w="5112"/>
            <w:vAlign w:val="top"/>
          </w:tcPr>
          <w:p>
            <w:r/>
            <w:r>
              <w:rPr>
                <w:b w:val="0"/>
                <w:sz w:val="18"/>
              </w:rPr>
              <w:t>Can also be folate-functionalized through lipid-ligand components, but this becomes a separate formulation route.</w:t>
            </w:r>
          </w:p>
        </w:tc>
      </w:tr>
    </w:tbl>
    <w:p>
      <w:pPr>
        <w:spacing w:after="120" w:line="259" w:lineRule="auto"/>
      </w:pPr>
    </w:p>
    <w:p>
      <w:pPr>
        <w:spacing w:after="120" w:line="259" w:lineRule="auto"/>
      </w:pPr>
      <w:r>
        <w:t>For NSL demonstration, it is preferable to use a stable, pre-prepared nanoparticle dispersion. The conjugation or surface-conditioning part can then be organized through reservoir dispensing, stirring, waiting, and optional mild heating or sonication.</w:t>
      </w:r>
    </w:p>
    <w:p>
      <w:pPr>
        <w:pStyle w:val="Heading1"/>
        <w:spacing w:after="120" w:line="259" w:lineRule="auto"/>
      </w:pPr>
      <w:r>
        <w:t>7. Chemistry Options for Folic Acid Attachment</w:t>
      </w:r>
    </w:p>
    <w:p>
      <w:pPr>
        <w:spacing w:after="120" w:line="259" w:lineRule="auto"/>
      </w:pPr>
      <w:r>
        <w:t>Different chemical routes may be used depending on the nanoparticle surface. The protocol should not force one chemistry for every material. Instead, it can be written as a flexible targeting-model workflow where the selected conjugation strategy is defined before execution.</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vAlign w:val="center"/>
          </w:tcPr>
          <w:p>
            <w:r/>
            <w:r>
              <w:rPr>
                <w:b/>
                <w:sz w:val="18"/>
              </w:rPr>
              <w:t>Approach</w:t>
            </w:r>
          </w:p>
        </w:tc>
        <w:tc>
          <w:tcPr>
            <w:tcW w:type="dxa" w:w="3408"/>
            <w:shd w:fill="D9EAF7"/>
            <w:vAlign w:val="center"/>
          </w:tcPr>
          <w:p>
            <w:r/>
            <w:r>
              <w:rPr>
                <w:b/>
                <w:sz w:val="18"/>
              </w:rPr>
              <w:t>Concept</w:t>
            </w:r>
          </w:p>
        </w:tc>
        <w:tc>
          <w:tcPr>
            <w:tcW w:type="dxa" w:w="3408"/>
            <w:shd w:fill="D9EAF7"/>
            <w:vAlign w:val="center"/>
          </w:tcPr>
          <w:p>
            <w:r/>
            <w:r>
              <w:rPr>
                <w:b/>
                <w:sz w:val="18"/>
              </w:rPr>
              <w:t>Notes</w:t>
            </w:r>
          </w:p>
        </w:tc>
      </w:tr>
      <w:tr>
        <w:tc>
          <w:tcPr>
            <w:tcW w:type="dxa" w:w="3408"/>
            <w:vAlign w:val="top"/>
          </w:tcPr>
          <w:p>
            <w:r/>
            <w:r>
              <w:rPr>
                <w:b w:val="0"/>
                <w:sz w:val="18"/>
              </w:rPr>
              <w:t>Adsorptive association</w:t>
            </w:r>
          </w:p>
        </w:tc>
        <w:tc>
          <w:tcPr>
            <w:tcW w:type="dxa" w:w="3408"/>
            <w:vAlign w:val="top"/>
          </w:tcPr>
          <w:p>
            <w:r/>
            <w:r>
              <w:rPr>
                <w:b w:val="0"/>
                <w:sz w:val="18"/>
              </w:rPr>
              <w:t>Folic acid associates with the nanoparticle surface through electrostatic or physical interaction.</w:t>
            </w:r>
          </w:p>
        </w:tc>
        <w:tc>
          <w:tcPr>
            <w:tcW w:type="dxa" w:w="3408"/>
            <w:vAlign w:val="top"/>
          </w:tcPr>
          <w:p>
            <w:r/>
            <w:r>
              <w:rPr>
                <w:b w:val="0"/>
                <w:sz w:val="18"/>
              </w:rPr>
              <w:t>Simple demonstration route; may be less stable and must be verified.</w:t>
            </w:r>
          </w:p>
        </w:tc>
      </w:tr>
      <w:tr>
        <w:tc>
          <w:tcPr>
            <w:tcW w:type="dxa" w:w="3408"/>
            <w:vAlign w:val="top"/>
          </w:tcPr>
          <w:p>
            <w:r/>
            <w:r>
              <w:rPr>
                <w:b w:val="0"/>
                <w:sz w:val="18"/>
              </w:rPr>
              <w:t>EDC/NHS coupling</w:t>
            </w:r>
          </w:p>
        </w:tc>
        <w:tc>
          <w:tcPr>
            <w:tcW w:type="dxa" w:w="3408"/>
            <w:vAlign w:val="top"/>
          </w:tcPr>
          <w:p>
            <w:r/>
            <w:r>
              <w:rPr>
                <w:b w:val="0"/>
                <w:sz w:val="18"/>
              </w:rPr>
              <w:t>Carboxyl groups are activated to form amide bonds with amine-containing surfaces.</w:t>
            </w:r>
          </w:p>
        </w:tc>
        <w:tc>
          <w:tcPr>
            <w:tcW w:type="dxa" w:w="3408"/>
            <w:vAlign w:val="top"/>
          </w:tcPr>
          <w:p>
            <w:r/>
            <w:r>
              <w:rPr>
                <w:b w:val="0"/>
                <w:sz w:val="18"/>
              </w:rPr>
              <w:t>Common route but requires careful pH and purification control.</w:t>
            </w:r>
          </w:p>
        </w:tc>
      </w:tr>
      <w:tr>
        <w:tc>
          <w:tcPr>
            <w:tcW w:type="dxa" w:w="3408"/>
            <w:vAlign w:val="top"/>
          </w:tcPr>
          <w:p>
            <w:r/>
            <w:r>
              <w:rPr>
                <w:b w:val="0"/>
                <w:sz w:val="18"/>
              </w:rPr>
              <w:t>Polymer-linker route</w:t>
            </w:r>
          </w:p>
        </w:tc>
        <w:tc>
          <w:tcPr>
            <w:tcW w:type="dxa" w:w="3408"/>
            <w:vAlign w:val="top"/>
          </w:tcPr>
          <w:p>
            <w:r/>
            <w:r>
              <w:rPr>
                <w:b w:val="0"/>
                <w:sz w:val="18"/>
              </w:rPr>
              <w:t>A linker or coating layer is first introduced, followed by folic acid coupling.</w:t>
            </w:r>
          </w:p>
        </w:tc>
        <w:tc>
          <w:tcPr>
            <w:tcW w:type="dxa" w:w="3408"/>
            <w:vAlign w:val="top"/>
          </w:tcPr>
          <w:p>
            <w:r/>
            <w:r>
              <w:rPr>
                <w:b w:val="0"/>
                <w:sz w:val="18"/>
              </w:rPr>
              <w:t>Useful for improving accessibility and reducing surface instability.</w:t>
            </w:r>
          </w:p>
        </w:tc>
      </w:tr>
      <w:tr>
        <w:tc>
          <w:tcPr>
            <w:tcW w:type="dxa" w:w="3408"/>
            <w:vAlign w:val="top"/>
          </w:tcPr>
          <w:p>
            <w:r/>
            <w:r>
              <w:rPr>
                <w:b w:val="0"/>
                <w:sz w:val="18"/>
              </w:rPr>
              <w:t>Folate-lipid insertion</w:t>
            </w:r>
          </w:p>
        </w:tc>
        <w:tc>
          <w:tcPr>
            <w:tcW w:type="dxa" w:w="3408"/>
            <w:vAlign w:val="top"/>
          </w:tcPr>
          <w:p>
            <w:r/>
            <w:r>
              <w:rPr>
                <w:b w:val="0"/>
                <w:sz w:val="18"/>
              </w:rPr>
              <w:t>Folate-functionalized lipid is used in lipid-based carriers.</w:t>
            </w:r>
          </w:p>
        </w:tc>
        <w:tc>
          <w:tcPr>
            <w:tcW w:type="dxa" w:w="3408"/>
            <w:vAlign w:val="top"/>
          </w:tcPr>
          <w:p>
            <w:r/>
            <w:r>
              <w:rPr>
                <w:b w:val="0"/>
                <w:sz w:val="18"/>
              </w:rPr>
              <w:t>More relevant to liposomes than solid nanoparticles.</w:t>
            </w:r>
          </w:p>
        </w:tc>
      </w:tr>
      <w:tr>
        <w:tc>
          <w:tcPr>
            <w:tcW w:type="dxa" w:w="3408"/>
            <w:vAlign w:val="top"/>
          </w:tcPr>
          <w:p>
            <w:r/>
            <w:r>
              <w:rPr>
                <w:b w:val="0"/>
                <w:sz w:val="18"/>
              </w:rPr>
              <w:t>Pre-functionalized ligand addition</w:t>
            </w:r>
          </w:p>
        </w:tc>
        <w:tc>
          <w:tcPr>
            <w:tcW w:type="dxa" w:w="3408"/>
            <w:vAlign w:val="top"/>
          </w:tcPr>
          <w:p>
            <w:r/>
            <w:r>
              <w:rPr>
                <w:b w:val="0"/>
                <w:sz w:val="18"/>
              </w:rPr>
              <w:t>Commercial or pre-synthesized folate linker is added to the nanoparticle.</w:t>
            </w:r>
          </w:p>
        </w:tc>
        <w:tc>
          <w:tcPr>
            <w:tcW w:type="dxa" w:w="3408"/>
            <w:vAlign w:val="top"/>
          </w:tcPr>
          <w:p>
            <w:r/>
            <w:r>
              <w:rPr>
                <w:b w:val="0"/>
                <w:sz w:val="18"/>
              </w:rPr>
              <w:t>Simplifies automation but shifts chemistry preparation offline.</w:t>
            </w:r>
          </w:p>
        </w:tc>
      </w:tr>
    </w:tbl>
    <w:p>
      <w:pPr>
        <w:spacing w:after="120" w:line="259" w:lineRule="auto"/>
      </w:pPr>
    </w:p>
    <w:p>
      <w:pPr>
        <w:spacing w:after="120" w:line="259" w:lineRule="auto"/>
      </w:pPr>
      <w:r>
        <w:t>If EDC/NHS chemistry is used, activation conditions should be optimized externally and written carefully. The NSL system can assist with dispensing and timing, but analytical confirmation of conjugation remains external.</w:t>
      </w:r>
    </w:p>
    <w:p>
      <w:pPr>
        <w:pStyle w:val="Heading1"/>
        <w:spacing w:after="120" w:line="259" w:lineRule="auto"/>
      </w:pPr>
      <w:r>
        <w:t>8. Role of Protoly in This Protocol</w:t>
      </w:r>
    </w:p>
    <w:p>
      <w:pPr>
        <w:spacing w:after="120" w:line="259" w:lineRule="auto"/>
      </w:pPr>
      <w:r>
        <w:t>Protoly helps convert a surface-functionalization workflow into a defined and traceable protocol. This is especially important because conjugation workflows often include several timed additions and waiting periods. Protoly allows the user to define what is added, when it is added, how long the reaction is mixed, and which steps are manual or external.</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Protoly function</w:t>
            </w:r>
          </w:p>
        </w:tc>
        <w:tc>
          <w:tcPr>
            <w:tcW w:type="dxa" w:w="5112"/>
            <w:shd w:fill="D9EAF7"/>
            <w:vAlign w:val="center"/>
          </w:tcPr>
          <w:p>
            <w:r/>
            <w:r>
              <w:rPr>
                <w:b/>
                <w:sz w:val="18"/>
              </w:rPr>
              <w:t>Value in this workflow</w:t>
            </w:r>
          </w:p>
        </w:tc>
      </w:tr>
      <w:tr>
        <w:tc>
          <w:tcPr>
            <w:tcW w:type="dxa" w:w="5112"/>
            <w:vAlign w:val="top"/>
          </w:tcPr>
          <w:p>
            <w:r/>
            <w:r>
              <w:rPr>
                <w:b w:val="0"/>
                <w:sz w:val="18"/>
              </w:rPr>
              <w:t>Step structuring</w:t>
            </w:r>
          </w:p>
        </w:tc>
        <w:tc>
          <w:tcPr>
            <w:tcW w:type="dxa" w:w="5112"/>
            <w:vAlign w:val="top"/>
          </w:tcPr>
          <w:p>
            <w:r/>
            <w:r>
              <w:rPr>
                <w:b w:val="0"/>
                <w:sz w:val="18"/>
              </w:rPr>
              <w:t>Separates activation, ligand addition, incubation, purification, and observation.</w:t>
            </w:r>
          </w:p>
        </w:tc>
      </w:tr>
      <w:tr>
        <w:tc>
          <w:tcPr>
            <w:tcW w:type="dxa" w:w="5112"/>
            <w:vAlign w:val="top"/>
          </w:tcPr>
          <w:p>
            <w:r/>
            <w:r>
              <w:rPr>
                <w:b w:val="0"/>
                <w:sz w:val="18"/>
              </w:rPr>
              <w:t>Variable recording</w:t>
            </w:r>
          </w:p>
        </w:tc>
        <w:tc>
          <w:tcPr>
            <w:tcW w:type="dxa" w:w="5112"/>
            <w:vAlign w:val="top"/>
          </w:tcPr>
          <w:p>
            <w:r/>
            <w:r>
              <w:rPr>
                <w:b w:val="0"/>
                <w:sz w:val="18"/>
              </w:rPr>
              <w:t>Tracks nanoparticle concentration, ligand amount, reaction time, and temperature.</w:t>
            </w:r>
          </w:p>
        </w:tc>
      </w:tr>
      <w:tr>
        <w:tc>
          <w:tcPr>
            <w:tcW w:type="dxa" w:w="5112"/>
            <w:vAlign w:val="top"/>
          </w:tcPr>
          <w:p>
            <w:r/>
            <w:r>
              <w:rPr>
                <w:b w:val="0"/>
                <w:sz w:val="18"/>
              </w:rPr>
              <w:t>Automation mapping</w:t>
            </w:r>
          </w:p>
        </w:tc>
        <w:tc>
          <w:tcPr>
            <w:tcW w:type="dxa" w:w="5112"/>
            <w:vAlign w:val="top"/>
          </w:tcPr>
          <w:p>
            <w:r/>
            <w:r>
              <w:rPr>
                <w:b w:val="0"/>
                <w:sz w:val="18"/>
              </w:rPr>
              <w:t>Marks which steps are NSL-supported and which are offline.</w:t>
            </w:r>
          </w:p>
        </w:tc>
      </w:tr>
      <w:tr>
        <w:tc>
          <w:tcPr>
            <w:tcW w:type="dxa" w:w="5112"/>
            <w:vAlign w:val="top"/>
          </w:tcPr>
          <w:p>
            <w:r/>
            <w:r>
              <w:rPr>
                <w:b w:val="0"/>
                <w:sz w:val="18"/>
              </w:rPr>
              <w:t>Batch comparison</w:t>
            </w:r>
          </w:p>
        </w:tc>
        <w:tc>
          <w:tcPr>
            <w:tcW w:type="dxa" w:w="5112"/>
            <w:vAlign w:val="top"/>
          </w:tcPr>
          <w:p>
            <w:r/>
            <w:r>
              <w:rPr>
                <w:b w:val="0"/>
                <w:sz w:val="18"/>
              </w:rPr>
              <w:t>Allows different ligand ratios or incubation times to be compared.</w:t>
            </w:r>
          </w:p>
        </w:tc>
      </w:tr>
      <w:tr>
        <w:tc>
          <w:tcPr>
            <w:tcW w:type="dxa" w:w="5112"/>
            <w:vAlign w:val="top"/>
          </w:tcPr>
          <w:p>
            <w:r/>
            <w:r>
              <w:rPr>
                <w:b w:val="0"/>
                <w:sz w:val="18"/>
              </w:rPr>
              <w:t>Training value</w:t>
            </w:r>
          </w:p>
        </w:tc>
        <w:tc>
          <w:tcPr>
            <w:tcW w:type="dxa" w:w="5112"/>
            <w:vAlign w:val="top"/>
          </w:tcPr>
          <w:p>
            <w:r/>
            <w:r>
              <w:rPr>
                <w:b w:val="0"/>
                <w:sz w:val="18"/>
              </w:rPr>
              <w:t>Helps explain targeted nanomaterial preparation in a clear sequence.</w:t>
            </w:r>
          </w:p>
        </w:tc>
      </w:tr>
    </w:tbl>
    <w:p>
      <w:pPr>
        <w:spacing w:after="120" w:line="259" w:lineRule="auto"/>
      </w:pPr>
    </w:p>
    <w:p>
      <w:pPr>
        <w:pStyle w:val="Heading1"/>
        <w:spacing w:after="120" w:line="259" w:lineRule="auto"/>
      </w:pPr>
      <w:r>
        <w:t>9. Role of NSL Modules</w:t>
      </w:r>
    </w:p>
    <w:p>
      <w:pPr>
        <w:spacing w:after="120" w:line="259" w:lineRule="auto"/>
      </w:pPr>
      <w:r>
        <w:t>The NSL platform supports the physical preparation sequence but not the full biological validation. The strongest NSL contribution is controlled addition, mixing, timing, illumination, and documentation.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Module</w:t>
            </w:r>
          </w:p>
        </w:tc>
        <w:tc>
          <w:tcPr>
            <w:tcW w:type="dxa" w:w="5112"/>
            <w:shd w:fill="D9EAF7"/>
            <w:vAlign w:val="center"/>
          </w:tcPr>
          <w:p>
            <w:r/>
            <w:r>
              <w:rPr>
                <w:b/>
                <w:sz w:val="18"/>
              </w:rPr>
              <w:t>Practical use</w:t>
            </w:r>
          </w:p>
        </w:tc>
      </w:tr>
      <w:tr>
        <w:tc>
          <w:tcPr>
            <w:tcW w:type="dxa" w:w="5112"/>
            <w:vAlign w:val="top"/>
          </w:tcPr>
          <w:p>
            <w:r/>
            <w:r>
              <w:rPr>
                <w:b w:val="0"/>
                <w:sz w:val="18"/>
              </w:rPr>
              <w:t>Reservoir Dispense</w:t>
            </w:r>
          </w:p>
        </w:tc>
        <w:tc>
          <w:tcPr>
            <w:tcW w:type="dxa" w:w="5112"/>
            <w:vAlign w:val="top"/>
          </w:tcPr>
          <w:p>
            <w:r/>
            <w:r>
              <w:rPr>
                <w:b w:val="0"/>
                <w:sz w:val="18"/>
              </w:rPr>
              <w:t>Adds nanoparticle dispersion, buffer, activator, folic acid solution, stabilizer, or washing medium.</w:t>
            </w:r>
          </w:p>
        </w:tc>
      </w:tr>
      <w:tr>
        <w:tc>
          <w:tcPr>
            <w:tcW w:type="dxa" w:w="5112"/>
            <w:vAlign w:val="top"/>
          </w:tcPr>
          <w:p>
            <w:r/>
            <w:r>
              <w:rPr>
                <w:b w:val="0"/>
                <w:sz w:val="18"/>
              </w:rPr>
              <w:t>Stirrer</w:t>
            </w:r>
          </w:p>
        </w:tc>
        <w:tc>
          <w:tcPr>
            <w:tcW w:type="dxa" w:w="5112"/>
            <w:vAlign w:val="top"/>
          </w:tcPr>
          <w:p>
            <w:r/>
            <w:r>
              <w:rPr>
                <w:b w:val="0"/>
                <w:sz w:val="18"/>
              </w:rPr>
              <w:t>Maintains uniform suspension during conjugation and blocking.</w:t>
            </w:r>
          </w:p>
        </w:tc>
      </w:tr>
      <w:tr>
        <w:tc>
          <w:tcPr>
            <w:tcW w:type="dxa" w:w="5112"/>
            <w:vAlign w:val="top"/>
          </w:tcPr>
          <w:p>
            <w:r/>
            <w:r>
              <w:rPr>
                <w:b w:val="0"/>
                <w:sz w:val="18"/>
              </w:rPr>
              <w:t>Heater</w:t>
            </w:r>
          </w:p>
        </w:tc>
        <w:tc>
          <w:tcPr>
            <w:tcW w:type="dxa" w:w="5112"/>
            <w:vAlign w:val="top"/>
          </w:tcPr>
          <w:p>
            <w:r/>
            <w:r>
              <w:rPr>
                <w:b w:val="0"/>
                <w:sz w:val="18"/>
              </w:rPr>
              <w:t>Provides mild temperature support where compatible with ligand and nanoparticle stability.</w:t>
            </w:r>
          </w:p>
        </w:tc>
      </w:tr>
      <w:tr>
        <w:tc>
          <w:tcPr>
            <w:tcW w:type="dxa" w:w="5112"/>
            <w:vAlign w:val="top"/>
          </w:tcPr>
          <w:p>
            <w:r/>
            <w:r>
              <w:rPr>
                <w:b w:val="0"/>
                <w:sz w:val="18"/>
              </w:rPr>
              <w:t>Wait</w:t>
            </w:r>
          </w:p>
        </w:tc>
        <w:tc>
          <w:tcPr>
            <w:tcW w:type="dxa" w:w="5112"/>
            <w:vAlign w:val="top"/>
          </w:tcPr>
          <w:p>
            <w:r/>
            <w:r>
              <w:rPr>
                <w:b w:val="0"/>
                <w:sz w:val="18"/>
              </w:rPr>
              <w:t>Defines activation, conjugation, blocking, and stabilization periods.</w:t>
            </w:r>
          </w:p>
        </w:tc>
      </w:tr>
      <w:tr>
        <w:tc>
          <w:tcPr>
            <w:tcW w:type="dxa" w:w="5112"/>
            <w:vAlign w:val="top"/>
          </w:tcPr>
          <w:p>
            <w:r/>
            <w:r>
              <w:rPr>
                <w:b w:val="0"/>
                <w:sz w:val="18"/>
              </w:rPr>
              <w:t>Camera</w:t>
            </w:r>
          </w:p>
        </w:tc>
        <w:tc>
          <w:tcPr>
            <w:tcW w:type="dxa" w:w="5112"/>
            <w:vAlign w:val="top"/>
          </w:tcPr>
          <w:p>
            <w:r/>
            <w:r>
              <w:rPr>
                <w:b w:val="0"/>
                <w:sz w:val="18"/>
              </w:rPr>
              <w:t>Documents dispersion condition, visible precipitation, color, and settling.</w:t>
            </w:r>
          </w:p>
        </w:tc>
      </w:tr>
      <w:tr>
        <w:tc>
          <w:tcPr>
            <w:tcW w:type="dxa" w:w="5112"/>
            <w:vAlign w:val="top"/>
          </w:tcPr>
          <w:p>
            <w:r/>
            <w:r>
              <w:rPr>
                <w:b w:val="0"/>
                <w:sz w:val="18"/>
              </w:rPr>
              <w:t>LED Illumination</w:t>
            </w:r>
          </w:p>
        </w:tc>
        <w:tc>
          <w:tcPr>
            <w:tcW w:type="dxa" w:w="5112"/>
            <w:vAlign w:val="top"/>
          </w:tcPr>
          <w:p>
            <w:r/>
            <w:r>
              <w:rPr>
                <w:b w:val="0"/>
                <w:sz w:val="18"/>
              </w:rPr>
              <w:t>Supports visual monitoring of the sample vessel.</w:t>
            </w:r>
          </w:p>
        </w:tc>
      </w:tr>
      <w:tr>
        <w:tc>
          <w:tcPr>
            <w:tcW w:type="dxa" w:w="5112"/>
            <w:vAlign w:val="top"/>
          </w:tcPr>
          <w:p>
            <w:r/>
            <w:r>
              <w:rPr>
                <w:b w:val="0"/>
                <w:sz w:val="18"/>
              </w:rPr>
              <w:t>UV / IR Illumination</w:t>
            </w:r>
          </w:p>
        </w:tc>
        <w:tc>
          <w:tcPr>
            <w:tcW w:type="dxa" w:w="5112"/>
            <w:vAlign w:val="top"/>
          </w:tcPr>
          <w:p>
            <w:r/>
            <w:r>
              <w:rPr>
                <w:b w:val="0"/>
                <w:sz w:val="18"/>
              </w:rPr>
              <w:t>Illumination support only where useful for chamber observation; not quantitative measurement.</w:t>
            </w:r>
          </w:p>
        </w:tc>
      </w:tr>
      <w:tr>
        <w:tc>
          <w:tcPr>
            <w:tcW w:type="dxa" w:w="5112"/>
            <w:vAlign w:val="top"/>
          </w:tcPr>
          <w:p>
            <w:r/>
            <w:r>
              <w:rPr>
                <w:b w:val="0"/>
                <w:sz w:val="18"/>
              </w:rPr>
              <w:t>Sonicator</w:t>
            </w:r>
          </w:p>
        </w:tc>
        <w:tc>
          <w:tcPr>
            <w:tcW w:type="dxa" w:w="5112"/>
            <w:vAlign w:val="top"/>
          </w:tcPr>
          <w:p>
            <w:r/>
            <w:r>
              <w:rPr>
                <w:b w:val="0"/>
                <w:sz w:val="18"/>
              </w:rPr>
              <w:t>Optional de-aggregation support if loose clustering is observed.</w:t>
            </w:r>
          </w:p>
        </w:tc>
      </w:tr>
      <w:tr>
        <w:tc>
          <w:tcPr>
            <w:tcW w:type="dxa" w:w="5112"/>
            <w:vAlign w:val="top"/>
          </w:tcPr>
          <w:p>
            <w:r/>
            <w:r>
              <w:rPr>
                <w:b w:val="0"/>
                <w:sz w:val="18"/>
              </w:rPr>
              <w:t>Environment Sensors</w:t>
            </w:r>
          </w:p>
        </w:tc>
        <w:tc>
          <w:tcPr>
            <w:tcW w:type="dxa" w:w="5112"/>
            <w:vAlign w:val="top"/>
          </w:tcPr>
          <w:p>
            <w:r/>
            <w:r>
              <w:rPr>
                <w:b w:val="0"/>
                <w:sz w:val="18"/>
              </w:rPr>
              <w:t>Records ambient chamber conditions for the batch record.</w:t>
            </w:r>
          </w:p>
        </w:tc>
      </w:tr>
      <w:tr>
        <w:tc>
          <w:tcPr>
            <w:tcW w:type="dxa" w:w="5112"/>
            <w:vAlign w:val="top"/>
          </w:tcPr>
          <w:p>
            <w:r/>
            <w:r>
              <w:rPr>
                <w:b w:val="0"/>
                <w:sz w:val="18"/>
              </w:rPr>
              <w:t>Exhaust</w:t>
            </w:r>
          </w:p>
        </w:tc>
        <w:tc>
          <w:tcPr>
            <w:tcW w:type="dxa" w:w="5112"/>
            <w:vAlign w:val="top"/>
          </w:tcPr>
          <w:p>
            <w:r/>
            <w:r>
              <w:rPr>
                <w:b w:val="0"/>
                <w:sz w:val="18"/>
              </w:rPr>
              <w:t>Supports airflow control during reagent handling.</w:t>
            </w:r>
          </w:p>
        </w:tc>
      </w:tr>
    </w:tbl>
    <w:p>
      <w:pPr>
        <w:spacing w:after="120" w:line="259" w:lineRule="auto"/>
      </w:pPr>
    </w:p>
    <w:p>
      <w:pPr>
        <w:pStyle w:val="Heading1"/>
        <w:spacing w:after="120" w:line="259" w:lineRule="auto"/>
      </w:pPr>
      <w:r>
        <w:t>10. Critical Variables to Record</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Variable</w:t>
            </w:r>
          </w:p>
        </w:tc>
        <w:tc>
          <w:tcPr>
            <w:tcW w:type="dxa" w:w="5112"/>
            <w:shd w:fill="D9EAF7"/>
            <w:vAlign w:val="center"/>
          </w:tcPr>
          <w:p>
            <w:r/>
            <w:r>
              <w:rPr>
                <w:b/>
                <w:sz w:val="18"/>
              </w:rPr>
              <w:t>Why it matters</w:t>
            </w:r>
          </w:p>
        </w:tc>
      </w:tr>
      <w:tr>
        <w:tc>
          <w:tcPr>
            <w:tcW w:type="dxa" w:w="5112"/>
            <w:vAlign w:val="top"/>
          </w:tcPr>
          <w:p>
            <w:r/>
            <w:r>
              <w:rPr>
                <w:b w:val="0"/>
                <w:sz w:val="18"/>
              </w:rPr>
              <w:t>Nanoparticle type</w:t>
            </w:r>
          </w:p>
        </w:tc>
        <w:tc>
          <w:tcPr>
            <w:tcW w:type="dxa" w:w="5112"/>
            <w:vAlign w:val="top"/>
          </w:tcPr>
          <w:p>
            <w:r/>
            <w:r>
              <w:rPr>
                <w:b w:val="0"/>
                <w:sz w:val="18"/>
              </w:rPr>
              <w:t>Determines surface chemistry and biological interpretation.</w:t>
            </w:r>
          </w:p>
        </w:tc>
      </w:tr>
      <w:tr>
        <w:tc>
          <w:tcPr>
            <w:tcW w:type="dxa" w:w="5112"/>
            <w:vAlign w:val="top"/>
          </w:tcPr>
          <w:p>
            <w:r/>
            <w:r>
              <w:rPr>
                <w:b w:val="0"/>
                <w:sz w:val="18"/>
              </w:rPr>
              <w:t>Nanoparticle concentration</w:t>
            </w:r>
          </w:p>
        </w:tc>
        <w:tc>
          <w:tcPr>
            <w:tcW w:type="dxa" w:w="5112"/>
            <w:vAlign w:val="top"/>
          </w:tcPr>
          <w:p>
            <w:r/>
            <w:r>
              <w:rPr>
                <w:b w:val="0"/>
                <w:sz w:val="18"/>
              </w:rPr>
              <w:t>Affects ligand-to-particle ratio and aggregation risk.</w:t>
            </w:r>
          </w:p>
        </w:tc>
      </w:tr>
      <w:tr>
        <w:tc>
          <w:tcPr>
            <w:tcW w:type="dxa" w:w="5112"/>
            <w:vAlign w:val="top"/>
          </w:tcPr>
          <w:p>
            <w:r/>
            <w:r>
              <w:rPr>
                <w:b w:val="0"/>
                <w:sz w:val="18"/>
              </w:rPr>
              <w:t>Folic acid concentration</w:t>
            </w:r>
          </w:p>
        </w:tc>
        <w:tc>
          <w:tcPr>
            <w:tcW w:type="dxa" w:w="5112"/>
            <w:vAlign w:val="top"/>
          </w:tcPr>
          <w:p>
            <w:r/>
            <w:r>
              <w:rPr>
                <w:b w:val="0"/>
                <w:sz w:val="18"/>
              </w:rPr>
              <w:t>Controls potential surface ligand density.</w:t>
            </w:r>
          </w:p>
        </w:tc>
      </w:tr>
      <w:tr>
        <w:tc>
          <w:tcPr>
            <w:tcW w:type="dxa" w:w="5112"/>
            <w:vAlign w:val="top"/>
          </w:tcPr>
          <w:p>
            <w:r/>
            <w:r>
              <w:rPr>
                <w:b w:val="0"/>
                <w:sz w:val="18"/>
              </w:rPr>
              <w:t>Activator concentration</w:t>
            </w:r>
          </w:p>
        </w:tc>
        <w:tc>
          <w:tcPr>
            <w:tcW w:type="dxa" w:w="5112"/>
            <w:vAlign w:val="top"/>
          </w:tcPr>
          <w:p>
            <w:r/>
            <w:r>
              <w:rPr>
                <w:b w:val="0"/>
                <w:sz w:val="18"/>
              </w:rPr>
              <w:t>Important if EDC/NHS or similar chemistry is used.</w:t>
            </w:r>
          </w:p>
        </w:tc>
      </w:tr>
      <w:tr>
        <w:tc>
          <w:tcPr>
            <w:tcW w:type="dxa" w:w="5112"/>
            <w:vAlign w:val="top"/>
          </w:tcPr>
          <w:p>
            <w:r/>
            <w:r>
              <w:rPr>
                <w:b w:val="0"/>
                <w:sz w:val="18"/>
              </w:rPr>
              <w:t>Buffer type and pH</w:t>
            </w:r>
          </w:p>
        </w:tc>
        <w:tc>
          <w:tcPr>
            <w:tcW w:type="dxa" w:w="5112"/>
            <w:vAlign w:val="top"/>
          </w:tcPr>
          <w:p>
            <w:r/>
            <w:r>
              <w:rPr>
                <w:b w:val="0"/>
                <w:sz w:val="18"/>
              </w:rPr>
              <w:t>Influences coupling chemistry and stability; pH confirmation is offline.</w:t>
            </w:r>
          </w:p>
        </w:tc>
      </w:tr>
      <w:tr>
        <w:tc>
          <w:tcPr>
            <w:tcW w:type="dxa" w:w="5112"/>
            <w:vAlign w:val="top"/>
          </w:tcPr>
          <w:p>
            <w:r/>
            <w:r>
              <w:rPr>
                <w:b w:val="0"/>
                <w:sz w:val="18"/>
              </w:rPr>
              <w:t>Reaction temperature</w:t>
            </w:r>
          </w:p>
        </w:tc>
        <w:tc>
          <w:tcPr>
            <w:tcW w:type="dxa" w:w="5112"/>
            <w:vAlign w:val="top"/>
          </w:tcPr>
          <w:p>
            <w:r/>
            <w:r>
              <w:rPr>
                <w:b w:val="0"/>
                <w:sz w:val="18"/>
              </w:rPr>
              <w:t>Can influence coupling efficiency and stability.</w:t>
            </w:r>
          </w:p>
        </w:tc>
      </w:tr>
      <w:tr>
        <w:tc>
          <w:tcPr>
            <w:tcW w:type="dxa" w:w="5112"/>
            <w:vAlign w:val="top"/>
          </w:tcPr>
          <w:p>
            <w:r/>
            <w:r>
              <w:rPr>
                <w:b w:val="0"/>
                <w:sz w:val="18"/>
              </w:rPr>
              <w:t>Stirring RPM</w:t>
            </w:r>
          </w:p>
        </w:tc>
        <w:tc>
          <w:tcPr>
            <w:tcW w:type="dxa" w:w="5112"/>
            <w:vAlign w:val="top"/>
          </w:tcPr>
          <w:p>
            <w:r/>
            <w:r>
              <w:rPr>
                <w:b w:val="0"/>
                <w:sz w:val="18"/>
              </w:rPr>
              <w:t>Affects dispersion uniformity.</w:t>
            </w:r>
          </w:p>
        </w:tc>
      </w:tr>
      <w:tr>
        <w:tc>
          <w:tcPr>
            <w:tcW w:type="dxa" w:w="5112"/>
            <w:vAlign w:val="top"/>
          </w:tcPr>
          <w:p>
            <w:r/>
            <w:r>
              <w:rPr>
                <w:b w:val="0"/>
                <w:sz w:val="18"/>
              </w:rPr>
              <w:t>Incubation time</w:t>
            </w:r>
          </w:p>
        </w:tc>
        <w:tc>
          <w:tcPr>
            <w:tcW w:type="dxa" w:w="5112"/>
            <w:vAlign w:val="top"/>
          </w:tcPr>
          <w:p>
            <w:r/>
            <w:r>
              <w:rPr>
                <w:b w:val="0"/>
                <w:sz w:val="18"/>
              </w:rPr>
              <w:t>Controls reaction completion and surface association.</w:t>
            </w:r>
          </w:p>
        </w:tc>
      </w:tr>
      <w:tr>
        <w:tc>
          <w:tcPr>
            <w:tcW w:type="dxa" w:w="5112"/>
            <w:vAlign w:val="top"/>
          </w:tcPr>
          <w:p>
            <w:r/>
            <w:r>
              <w:rPr>
                <w:b w:val="0"/>
                <w:sz w:val="18"/>
              </w:rPr>
              <w:t>Purification method</w:t>
            </w:r>
          </w:p>
        </w:tc>
        <w:tc>
          <w:tcPr>
            <w:tcW w:type="dxa" w:w="5112"/>
            <w:vAlign w:val="top"/>
          </w:tcPr>
          <w:p>
            <w:r/>
            <w:r>
              <w:rPr>
                <w:b w:val="0"/>
                <w:sz w:val="18"/>
              </w:rPr>
              <w:t>Affects removal of free folic acid and residual reagents.</w:t>
            </w:r>
          </w:p>
        </w:tc>
      </w:tr>
      <w:tr>
        <w:tc>
          <w:tcPr>
            <w:tcW w:type="dxa" w:w="5112"/>
            <w:vAlign w:val="top"/>
          </w:tcPr>
          <w:p>
            <w:r/>
            <w:r>
              <w:rPr>
                <w:b w:val="0"/>
                <w:sz w:val="18"/>
              </w:rPr>
              <w:t>Final appearance</w:t>
            </w:r>
          </w:p>
        </w:tc>
        <w:tc>
          <w:tcPr>
            <w:tcW w:type="dxa" w:w="5112"/>
            <w:vAlign w:val="top"/>
          </w:tcPr>
          <w:p>
            <w:r/>
            <w:r>
              <w:rPr>
                <w:b w:val="0"/>
                <w:sz w:val="18"/>
              </w:rPr>
              <w:t>Early indicator of aggregation, precipitation, or instability.</w:t>
            </w:r>
          </w:p>
        </w:tc>
      </w:tr>
    </w:tbl>
    <w:p>
      <w:pPr>
        <w:spacing w:after="120" w:line="259" w:lineRule="auto"/>
      </w:pPr>
    </w:p>
    <w:p>
      <w:pPr>
        <w:pStyle w:val="Heading1"/>
        <w:spacing w:after="120" w:line="259" w:lineRule="auto"/>
      </w:pPr>
      <w:r>
        <w:t>11. Expected Observations and Preliminary Meaning</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Observation</w:t>
            </w:r>
          </w:p>
        </w:tc>
        <w:tc>
          <w:tcPr>
            <w:tcW w:type="dxa" w:w="5112"/>
            <w:shd w:fill="D9EAF7"/>
            <w:vAlign w:val="center"/>
          </w:tcPr>
          <w:p>
            <w:r/>
            <w:r>
              <w:rPr>
                <w:b/>
                <w:sz w:val="18"/>
              </w:rPr>
              <w:t>Possible meaning</w:t>
            </w:r>
          </w:p>
        </w:tc>
      </w:tr>
      <w:tr>
        <w:tc>
          <w:tcPr>
            <w:tcW w:type="dxa" w:w="5112"/>
            <w:vAlign w:val="top"/>
          </w:tcPr>
          <w:p>
            <w:r/>
            <w:r>
              <w:rPr>
                <w:b w:val="0"/>
                <w:sz w:val="18"/>
              </w:rPr>
              <w:t>Uniform dispersion after conjugation</w:t>
            </w:r>
          </w:p>
        </w:tc>
        <w:tc>
          <w:tcPr>
            <w:tcW w:type="dxa" w:w="5112"/>
            <w:vAlign w:val="top"/>
          </w:tcPr>
          <w:p>
            <w:r/>
            <w:r>
              <w:rPr>
                <w:b w:val="0"/>
                <w:sz w:val="18"/>
              </w:rPr>
              <w:t>Conjugation conditions may be compatible with colloidal stability.</w:t>
            </w:r>
          </w:p>
        </w:tc>
      </w:tr>
      <w:tr>
        <w:tc>
          <w:tcPr>
            <w:tcW w:type="dxa" w:w="5112"/>
            <w:vAlign w:val="top"/>
          </w:tcPr>
          <w:p>
            <w:r/>
            <w:r>
              <w:rPr>
                <w:b w:val="0"/>
                <w:sz w:val="18"/>
              </w:rPr>
              <w:t>Visible sediment or settling</w:t>
            </w:r>
          </w:p>
        </w:tc>
        <w:tc>
          <w:tcPr>
            <w:tcW w:type="dxa" w:w="5112"/>
            <w:vAlign w:val="top"/>
          </w:tcPr>
          <w:p>
            <w:r/>
            <w:r>
              <w:rPr>
                <w:b w:val="0"/>
                <w:sz w:val="18"/>
              </w:rPr>
              <w:t>Aggregation, overactivation, high salt, or poor stabilizer compatibility may be present.</w:t>
            </w:r>
          </w:p>
        </w:tc>
      </w:tr>
      <w:tr>
        <w:tc>
          <w:tcPr>
            <w:tcW w:type="dxa" w:w="5112"/>
            <w:vAlign w:val="top"/>
          </w:tcPr>
          <w:p>
            <w:r/>
            <w:r>
              <w:rPr>
                <w:b w:val="0"/>
                <w:sz w:val="18"/>
              </w:rPr>
              <w:t>Color change in dispersion</w:t>
            </w:r>
          </w:p>
        </w:tc>
        <w:tc>
          <w:tcPr>
            <w:tcW w:type="dxa" w:w="5112"/>
            <w:vAlign w:val="top"/>
          </w:tcPr>
          <w:p>
            <w:r/>
            <w:r>
              <w:rPr>
                <w:b w:val="0"/>
                <w:sz w:val="18"/>
              </w:rPr>
              <w:t>Possible ligand or nanoparticle surface interaction; requires analytical confirmation.</w:t>
            </w:r>
          </w:p>
        </w:tc>
      </w:tr>
      <w:tr>
        <w:tc>
          <w:tcPr>
            <w:tcW w:type="dxa" w:w="5112"/>
            <w:vAlign w:val="top"/>
          </w:tcPr>
          <w:p>
            <w:r/>
            <w:r>
              <w:rPr>
                <w:b w:val="0"/>
                <w:sz w:val="18"/>
              </w:rPr>
              <w:t>Heavy cloudiness</w:t>
            </w:r>
          </w:p>
        </w:tc>
        <w:tc>
          <w:tcPr>
            <w:tcW w:type="dxa" w:w="5112"/>
            <w:vAlign w:val="top"/>
          </w:tcPr>
          <w:p>
            <w:r/>
            <w:r>
              <w:rPr>
                <w:b w:val="0"/>
                <w:sz w:val="18"/>
              </w:rPr>
              <w:t>Possible particle clustering or unstable surface condition.</w:t>
            </w:r>
          </w:p>
        </w:tc>
      </w:tr>
      <w:tr>
        <w:tc>
          <w:tcPr>
            <w:tcW w:type="dxa" w:w="5112"/>
            <w:vAlign w:val="top"/>
          </w:tcPr>
          <w:p>
            <w:r/>
            <w:r>
              <w:rPr>
                <w:b w:val="0"/>
                <w:sz w:val="18"/>
              </w:rPr>
              <w:t>Stable appearance after waiting</w:t>
            </w:r>
          </w:p>
        </w:tc>
        <w:tc>
          <w:tcPr>
            <w:tcW w:type="dxa" w:w="5112"/>
            <w:vAlign w:val="top"/>
          </w:tcPr>
          <w:p>
            <w:r/>
            <w:r>
              <w:rPr>
                <w:b w:val="0"/>
                <w:sz w:val="18"/>
              </w:rPr>
              <w:t>Preliminary indication of better dispersion stability.</w:t>
            </w:r>
          </w:p>
        </w:tc>
      </w:tr>
      <w:tr>
        <w:tc>
          <w:tcPr>
            <w:tcW w:type="dxa" w:w="5112"/>
            <w:vAlign w:val="top"/>
          </w:tcPr>
          <w:p>
            <w:r/>
            <w:r>
              <w:rPr>
                <w:b w:val="0"/>
                <w:sz w:val="18"/>
              </w:rPr>
              <w:t>Yellowish tint from folic acid</w:t>
            </w:r>
          </w:p>
        </w:tc>
        <w:tc>
          <w:tcPr>
            <w:tcW w:type="dxa" w:w="5112"/>
            <w:vAlign w:val="top"/>
          </w:tcPr>
          <w:p>
            <w:r/>
            <w:r>
              <w:rPr>
                <w:b w:val="0"/>
                <w:sz w:val="18"/>
              </w:rPr>
              <w:t>May indicate folic acid presence but does not prove conjugation.</w:t>
            </w:r>
          </w:p>
        </w:tc>
      </w:tr>
      <w:tr>
        <w:tc>
          <w:tcPr>
            <w:tcW w:type="dxa" w:w="5112"/>
            <w:vAlign w:val="top"/>
          </w:tcPr>
          <w:p>
            <w:r/>
            <w:r>
              <w:rPr>
                <w:b w:val="0"/>
                <w:sz w:val="18"/>
              </w:rPr>
              <w:t>Foam or bubbles</w:t>
            </w:r>
          </w:p>
        </w:tc>
        <w:tc>
          <w:tcPr>
            <w:tcW w:type="dxa" w:w="5112"/>
            <w:vAlign w:val="top"/>
          </w:tcPr>
          <w:p>
            <w:r/>
            <w:r>
              <w:rPr>
                <w:b w:val="0"/>
                <w:sz w:val="18"/>
              </w:rPr>
              <w:t>May result from stirring or sonication; not necessarily chemical change.</w:t>
            </w:r>
          </w:p>
        </w:tc>
      </w:tr>
    </w:tbl>
    <w:p>
      <w:pPr>
        <w:spacing w:after="120" w:line="259" w:lineRule="auto"/>
      </w:pPr>
    </w:p>
    <w:p>
      <w:pPr>
        <w:spacing w:after="120" w:line="259" w:lineRule="auto"/>
      </w:pPr>
      <w:r>
        <w:t>Visual observation is only a preliminary screening tool. It cannot confirm folic acid conjugation, ligand density, receptor binding, or biological targeting. Those conclusions require external analytical and biological methods.</w:t>
      </w:r>
    </w:p>
    <w:p>
      <w:pPr>
        <w:pStyle w:val="Heading1"/>
        <w:spacing w:after="120" w:line="259" w:lineRule="auto"/>
      </w:pPr>
      <w:r>
        <w:t>12. Suggested Offline Characterization Plan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External test</w:t>
            </w:r>
          </w:p>
        </w:tc>
        <w:tc>
          <w:tcPr>
            <w:tcW w:type="dxa" w:w="5112"/>
            <w:shd w:fill="D9EAF7"/>
            <w:vAlign w:val="center"/>
          </w:tcPr>
          <w:p>
            <w:r/>
            <w:r>
              <w:rPr>
                <w:b/>
                <w:sz w:val="18"/>
              </w:rPr>
              <w:t>Purpose</w:t>
            </w:r>
          </w:p>
        </w:tc>
      </w:tr>
      <w:tr>
        <w:tc>
          <w:tcPr>
            <w:tcW w:type="dxa" w:w="5112"/>
            <w:vAlign w:val="top"/>
          </w:tcPr>
          <w:p>
            <w:r/>
            <w:r>
              <w:rPr>
                <w:b w:val="0"/>
                <w:sz w:val="18"/>
              </w:rPr>
              <w:t>DLS particle size</w:t>
            </w:r>
          </w:p>
        </w:tc>
        <w:tc>
          <w:tcPr>
            <w:tcW w:type="dxa" w:w="5112"/>
            <w:vAlign w:val="top"/>
          </w:tcPr>
          <w:p>
            <w:r/>
            <w:r>
              <w:rPr>
                <w:b w:val="0"/>
                <w:sz w:val="18"/>
              </w:rPr>
              <w:t>Checks whether conjugation caused aggregation or size change.</w:t>
            </w:r>
          </w:p>
        </w:tc>
      </w:tr>
      <w:tr>
        <w:tc>
          <w:tcPr>
            <w:tcW w:type="dxa" w:w="5112"/>
            <w:vAlign w:val="top"/>
          </w:tcPr>
          <w:p>
            <w:r/>
            <w:r>
              <w:rPr>
                <w:b w:val="0"/>
                <w:sz w:val="18"/>
              </w:rPr>
              <w:t>Zeta potential</w:t>
            </w:r>
          </w:p>
        </w:tc>
        <w:tc>
          <w:tcPr>
            <w:tcW w:type="dxa" w:w="5112"/>
            <w:vAlign w:val="top"/>
          </w:tcPr>
          <w:p>
            <w:r/>
            <w:r>
              <w:rPr>
                <w:b w:val="0"/>
                <w:sz w:val="18"/>
              </w:rPr>
              <w:t>Evaluates surface charge change after folate modification.</w:t>
            </w:r>
          </w:p>
        </w:tc>
      </w:tr>
      <w:tr>
        <w:tc>
          <w:tcPr>
            <w:tcW w:type="dxa" w:w="5112"/>
            <w:vAlign w:val="top"/>
          </w:tcPr>
          <w:p>
            <w:r/>
            <w:r>
              <w:rPr>
                <w:b w:val="0"/>
                <w:sz w:val="18"/>
              </w:rPr>
              <w:t>UV-Vis absorbance</w:t>
            </w:r>
          </w:p>
        </w:tc>
        <w:tc>
          <w:tcPr>
            <w:tcW w:type="dxa" w:w="5112"/>
            <w:vAlign w:val="top"/>
          </w:tcPr>
          <w:p>
            <w:r/>
            <w:r>
              <w:rPr>
                <w:b w:val="0"/>
                <w:sz w:val="18"/>
              </w:rPr>
              <w:t>May help track folic acid or nanoparticle spectral changes.</w:t>
            </w:r>
          </w:p>
        </w:tc>
      </w:tr>
      <w:tr>
        <w:tc>
          <w:tcPr>
            <w:tcW w:type="dxa" w:w="5112"/>
            <w:vAlign w:val="top"/>
          </w:tcPr>
          <w:p>
            <w:r/>
            <w:r>
              <w:rPr>
                <w:b w:val="0"/>
                <w:sz w:val="18"/>
              </w:rPr>
              <w:t>Fluorescence assay</w:t>
            </w:r>
          </w:p>
        </w:tc>
        <w:tc>
          <w:tcPr>
            <w:tcW w:type="dxa" w:w="5112"/>
            <w:vAlign w:val="top"/>
          </w:tcPr>
          <w:p>
            <w:r/>
            <w:r>
              <w:rPr>
                <w:b w:val="0"/>
                <w:sz w:val="18"/>
              </w:rPr>
              <w:t>Can be used if fluorescent labels are included.</w:t>
            </w:r>
          </w:p>
        </w:tc>
      </w:tr>
      <w:tr>
        <w:tc>
          <w:tcPr>
            <w:tcW w:type="dxa" w:w="5112"/>
            <w:vAlign w:val="top"/>
          </w:tcPr>
          <w:p>
            <w:r/>
            <w:r>
              <w:rPr>
                <w:b w:val="0"/>
                <w:sz w:val="18"/>
              </w:rPr>
              <w:t>FTIR</w:t>
            </w:r>
          </w:p>
        </w:tc>
        <w:tc>
          <w:tcPr>
            <w:tcW w:type="dxa" w:w="5112"/>
            <w:vAlign w:val="top"/>
          </w:tcPr>
          <w:p>
            <w:r/>
            <w:r>
              <w:rPr>
                <w:b w:val="0"/>
                <w:sz w:val="18"/>
              </w:rPr>
              <w:t>Supports identification of surface chemical groups.</w:t>
            </w:r>
          </w:p>
        </w:tc>
      </w:tr>
      <w:tr>
        <w:tc>
          <w:tcPr>
            <w:tcW w:type="dxa" w:w="5112"/>
            <w:vAlign w:val="top"/>
          </w:tcPr>
          <w:p>
            <w:r/>
            <w:r>
              <w:rPr>
                <w:b w:val="0"/>
                <w:sz w:val="18"/>
              </w:rPr>
              <w:t>TGA or elemental analysis</w:t>
            </w:r>
          </w:p>
        </w:tc>
        <w:tc>
          <w:tcPr>
            <w:tcW w:type="dxa" w:w="5112"/>
            <w:vAlign w:val="top"/>
          </w:tcPr>
          <w:p>
            <w:r/>
            <w:r>
              <w:rPr>
                <w:b w:val="0"/>
                <w:sz w:val="18"/>
              </w:rPr>
              <w:t>May support ligand content estimation in advanced studies.</w:t>
            </w:r>
          </w:p>
        </w:tc>
      </w:tr>
      <w:tr>
        <w:tc>
          <w:tcPr>
            <w:tcW w:type="dxa" w:w="5112"/>
            <w:vAlign w:val="top"/>
          </w:tcPr>
          <w:p>
            <w:r/>
            <w:r>
              <w:rPr>
                <w:b w:val="0"/>
                <w:sz w:val="18"/>
              </w:rPr>
              <w:t>Centrifugal stability study</w:t>
            </w:r>
          </w:p>
        </w:tc>
        <w:tc>
          <w:tcPr>
            <w:tcW w:type="dxa" w:w="5112"/>
            <w:vAlign w:val="top"/>
          </w:tcPr>
          <w:p>
            <w:r/>
            <w:r>
              <w:rPr>
                <w:b w:val="0"/>
                <w:sz w:val="18"/>
              </w:rPr>
              <w:t>Checks dispersion robustness.</w:t>
            </w:r>
          </w:p>
        </w:tc>
      </w:tr>
      <w:tr>
        <w:tc>
          <w:tcPr>
            <w:tcW w:type="dxa" w:w="5112"/>
            <w:vAlign w:val="top"/>
          </w:tcPr>
          <w:p>
            <w:r/>
            <w:r>
              <w:rPr>
                <w:b w:val="0"/>
                <w:sz w:val="18"/>
              </w:rPr>
              <w:t>Cell uptake microscopy</w:t>
            </w:r>
          </w:p>
        </w:tc>
        <w:tc>
          <w:tcPr>
            <w:tcW w:type="dxa" w:w="5112"/>
            <w:vAlign w:val="top"/>
          </w:tcPr>
          <w:p>
            <w:r/>
            <w:r>
              <w:rPr>
                <w:b w:val="0"/>
                <w:sz w:val="18"/>
              </w:rPr>
              <w:t>Evaluates cellular association in a suitable model.</w:t>
            </w:r>
          </w:p>
        </w:tc>
      </w:tr>
      <w:tr>
        <w:tc>
          <w:tcPr>
            <w:tcW w:type="dxa" w:w="5112"/>
            <w:vAlign w:val="top"/>
          </w:tcPr>
          <w:p>
            <w:r/>
            <w:r>
              <w:rPr>
                <w:b w:val="0"/>
                <w:sz w:val="18"/>
              </w:rPr>
              <w:t>Flow cytometry</w:t>
            </w:r>
          </w:p>
        </w:tc>
        <w:tc>
          <w:tcPr>
            <w:tcW w:type="dxa" w:w="5112"/>
            <w:vAlign w:val="top"/>
          </w:tcPr>
          <w:p>
            <w:r/>
            <w:r>
              <w:rPr>
                <w:b w:val="0"/>
                <w:sz w:val="18"/>
              </w:rPr>
              <w:t>Quantifies uptake if labelled particles are used.</w:t>
            </w:r>
          </w:p>
        </w:tc>
      </w:tr>
      <w:tr>
        <w:tc>
          <w:tcPr>
            <w:tcW w:type="dxa" w:w="5112"/>
            <w:vAlign w:val="top"/>
          </w:tcPr>
          <w:p>
            <w:r/>
            <w:r>
              <w:rPr>
                <w:b w:val="0"/>
                <w:sz w:val="18"/>
              </w:rPr>
              <w:t>Competition assay with free folic acid</w:t>
            </w:r>
          </w:p>
        </w:tc>
        <w:tc>
          <w:tcPr>
            <w:tcW w:type="dxa" w:w="5112"/>
            <w:vAlign w:val="top"/>
          </w:tcPr>
          <w:p>
            <w:r/>
            <w:r>
              <w:rPr>
                <w:b w:val="0"/>
                <w:sz w:val="18"/>
              </w:rPr>
              <w:t>Helps evaluate receptor-mediated uptake mechanism.</w:t>
            </w:r>
          </w:p>
        </w:tc>
      </w:tr>
      <w:tr>
        <w:tc>
          <w:tcPr>
            <w:tcW w:type="dxa" w:w="5112"/>
            <w:vAlign w:val="top"/>
          </w:tcPr>
          <w:p>
            <w:r/>
            <w:r>
              <w:rPr>
                <w:b w:val="0"/>
                <w:sz w:val="18"/>
              </w:rPr>
              <w:t>Cytotoxicity assay</w:t>
            </w:r>
          </w:p>
        </w:tc>
        <w:tc>
          <w:tcPr>
            <w:tcW w:type="dxa" w:w="5112"/>
            <w:vAlign w:val="top"/>
          </w:tcPr>
          <w:p>
            <w:r/>
            <w:r>
              <w:rPr>
                <w:b w:val="0"/>
                <w:sz w:val="18"/>
              </w:rPr>
              <w:t>Required before making biological safety claims.</w:t>
            </w:r>
          </w:p>
        </w:tc>
      </w:tr>
    </w:tbl>
    <w:p>
      <w:pPr>
        <w:spacing w:after="120" w:line="259" w:lineRule="auto"/>
      </w:pPr>
    </w:p>
    <w:p>
      <w:pPr>
        <w:pStyle w:val="Heading1"/>
        <w:spacing w:after="120" w:line="259" w:lineRule="auto"/>
      </w:pPr>
      <w:r>
        <w:t>13. Cancer Cell Targeting Model: Correct Interpretation</w:t>
      </w:r>
    </w:p>
    <w:p>
      <w:pPr>
        <w:spacing w:after="120" w:line="259" w:lineRule="auto"/>
      </w:pPr>
      <w:r>
        <w:t>The protocol title includes cancer cell targeting because folic acid-functionalized nanoparticles can be studied in cancer-related receptor targeting models. However, preparation of folate-conjugated nanoparticles is only the first step. Targeting must be proven separately using an appropriate biological design.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Claim level</w:t>
            </w:r>
          </w:p>
        </w:tc>
        <w:tc>
          <w:tcPr>
            <w:tcW w:type="dxa" w:w="5112"/>
            <w:shd w:fill="D9EAF7"/>
            <w:vAlign w:val="center"/>
          </w:tcPr>
          <w:p>
            <w:r/>
            <w:r>
              <w:rPr>
                <w:b/>
                <w:sz w:val="18"/>
              </w:rPr>
              <w:t>What is required</w:t>
            </w:r>
          </w:p>
        </w:tc>
      </w:tr>
      <w:tr>
        <w:tc>
          <w:tcPr>
            <w:tcW w:type="dxa" w:w="5112"/>
            <w:vAlign w:val="top"/>
          </w:tcPr>
          <w:p>
            <w:r/>
            <w:r>
              <w:rPr>
                <w:b w:val="0"/>
                <w:sz w:val="18"/>
              </w:rPr>
              <w:t>Folate-modified nanoparticle prepared</w:t>
            </w:r>
          </w:p>
        </w:tc>
        <w:tc>
          <w:tcPr>
            <w:tcW w:type="dxa" w:w="5112"/>
            <w:vAlign w:val="top"/>
          </w:tcPr>
          <w:p>
            <w:r/>
            <w:r>
              <w:rPr>
                <w:b w:val="0"/>
                <w:sz w:val="18"/>
              </w:rPr>
              <w:t>External evidence of folic acid attachment or association.</w:t>
            </w:r>
          </w:p>
        </w:tc>
      </w:tr>
      <w:tr>
        <w:tc>
          <w:tcPr>
            <w:tcW w:type="dxa" w:w="5112"/>
            <w:vAlign w:val="top"/>
          </w:tcPr>
          <w:p>
            <w:r/>
            <w:r>
              <w:rPr>
                <w:b w:val="0"/>
                <w:sz w:val="18"/>
              </w:rPr>
              <w:t>Stable folate-modified nanoparticle</w:t>
            </w:r>
          </w:p>
        </w:tc>
        <w:tc>
          <w:tcPr>
            <w:tcW w:type="dxa" w:w="5112"/>
            <w:vAlign w:val="top"/>
          </w:tcPr>
          <w:p>
            <w:r/>
            <w:r>
              <w:rPr>
                <w:b w:val="0"/>
                <w:sz w:val="18"/>
              </w:rPr>
              <w:t>Particle size, zeta potential, and storage stability data.</w:t>
            </w:r>
          </w:p>
        </w:tc>
      </w:tr>
      <w:tr>
        <w:tc>
          <w:tcPr>
            <w:tcW w:type="dxa" w:w="5112"/>
            <w:vAlign w:val="top"/>
          </w:tcPr>
          <w:p>
            <w:r/>
            <w:r>
              <w:rPr>
                <w:b w:val="0"/>
                <w:sz w:val="18"/>
              </w:rPr>
              <w:t>Cancer-cell uptake model</w:t>
            </w:r>
          </w:p>
        </w:tc>
        <w:tc>
          <w:tcPr>
            <w:tcW w:type="dxa" w:w="5112"/>
            <w:vAlign w:val="top"/>
          </w:tcPr>
          <w:p>
            <w:r/>
            <w:r>
              <w:rPr>
                <w:b w:val="0"/>
                <w:sz w:val="18"/>
              </w:rPr>
              <w:t>Microscopy or flow cytometry using suitable cell lines.</w:t>
            </w:r>
          </w:p>
        </w:tc>
      </w:tr>
      <w:tr>
        <w:tc>
          <w:tcPr>
            <w:tcW w:type="dxa" w:w="5112"/>
            <w:vAlign w:val="top"/>
          </w:tcPr>
          <w:p>
            <w:r/>
            <w:r>
              <w:rPr>
                <w:b w:val="0"/>
                <w:sz w:val="18"/>
              </w:rPr>
              <w:t>Folate receptor-mediated uptake</w:t>
            </w:r>
          </w:p>
        </w:tc>
        <w:tc>
          <w:tcPr>
            <w:tcW w:type="dxa" w:w="5112"/>
            <w:vAlign w:val="top"/>
          </w:tcPr>
          <w:p>
            <w:r/>
            <w:r>
              <w:rPr>
                <w:b w:val="0"/>
                <w:sz w:val="18"/>
              </w:rPr>
              <w:t>Comparison with folate receptor-low cells or competition with free folic acid.</w:t>
            </w:r>
          </w:p>
        </w:tc>
      </w:tr>
      <w:tr>
        <w:tc>
          <w:tcPr>
            <w:tcW w:type="dxa" w:w="5112"/>
            <w:vAlign w:val="top"/>
          </w:tcPr>
          <w:p>
            <w:r/>
            <w:r>
              <w:rPr>
                <w:b w:val="0"/>
                <w:sz w:val="18"/>
              </w:rPr>
              <w:t>Therapeutic targeting</w:t>
            </w:r>
          </w:p>
        </w:tc>
        <w:tc>
          <w:tcPr>
            <w:tcW w:type="dxa" w:w="5112"/>
            <w:vAlign w:val="top"/>
          </w:tcPr>
          <w:p>
            <w:r/>
            <w:r>
              <w:rPr>
                <w:b w:val="0"/>
                <w:sz w:val="18"/>
              </w:rPr>
              <w:t>Requires drug loading, release profile, cytotoxicity, selectivity, and in-depth validation.</w:t>
            </w:r>
          </w:p>
        </w:tc>
      </w:tr>
    </w:tbl>
    <w:p>
      <w:pPr>
        <w:spacing w:after="120" w:line="259" w:lineRule="auto"/>
      </w:pPr>
    </w:p>
    <w:p>
      <w:pPr>
        <w:spacing w:after="120" w:line="259" w:lineRule="auto"/>
      </w:pPr>
      <w:r>
        <w:t>For webinar language, the safest wording is: “This is a targeting-model preparation workflow. Biological targeting and therapeutic performance are separate downstream studies.”</w:t>
      </w:r>
    </w:p>
    <w:p>
      <w:pPr>
        <w:pStyle w:val="Heading1"/>
        <w:spacing w:after="120" w:line="259" w:lineRule="auto"/>
      </w:pPr>
      <w:r>
        <w:t>14. Webinar Explanation Strategy</w:t>
      </w:r>
    </w:p>
    <w:p>
      <w:pPr>
        <w:spacing w:after="120" w:line="259" w:lineRule="auto"/>
      </w:pPr>
      <w:r>
        <w:t>This protocol can be explained as a bridge between nanomaterial preparation and targeted biomedical research. It is suitable for showing how a plain nanoparticle can be converted into a ligand-functionalized nanoparticle model using a controlled sequence of reagent addition, mixing, incubation, and external validation.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Slide idea</w:t>
            </w:r>
          </w:p>
        </w:tc>
        <w:tc>
          <w:tcPr>
            <w:tcW w:type="dxa" w:w="5112"/>
            <w:shd w:fill="D9EAF7"/>
            <w:vAlign w:val="center"/>
          </w:tcPr>
          <w:p>
            <w:r/>
            <w:r>
              <w:rPr>
                <w:b/>
                <w:sz w:val="18"/>
              </w:rPr>
              <w:t>Message</w:t>
            </w:r>
          </w:p>
        </w:tc>
      </w:tr>
      <w:tr>
        <w:tc>
          <w:tcPr>
            <w:tcW w:type="dxa" w:w="5112"/>
            <w:vAlign w:val="top"/>
          </w:tcPr>
          <w:p>
            <w:r/>
            <w:r>
              <w:rPr>
                <w:b w:val="0"/>
                <w:sz w:val="18"/>
              </w:rPr>
              <w:t>What is ligand targeting?</w:t>
            </w:r>
          </w:p>
        </w:tc>
        <w:tc>
          <w:tcPr>
            <w:tcW w:type="dxa" w:w="5112"/>
            <w:vAlign w:val="top"/>
          </w:tcPr>
          <w:p>
            <w:r/>
            <w:r>
              <w:rPr>
                <w:b w:val="0"/>
                <w:sz w:val="18"/>
              </w:rPr>
              <w:t>A ligand on the nanoparticle surface may help interaction with a selected biological receptor.</w:t>
            </w:r>
          </w:p>
        </w:tc>
      </w:tr>
      <w:tr>
        <w:tc>
          <w:tcPr>
            <w:tcW w:type="dxa" w:w="5112"/>
            <w:vAlign w:val="top"/>
          </w:tcPr>
          <w:p>
            <w:r/>
            <w:r>
              <w:rPr>
                <w:b w:val="0"/>
                <w:sz w:val="18"/>
              </w:rPr>
              <w:t>Why folic acid?</w:t>
            </w:r>
          </w:p>
        </w:tc>
        <w:tc>
          <w:tcPr>
            <w:tcW w:type="dxa" w:w="5112"/>
            <w:vAlign w:val="top"/>
          </w:tcPr>
          <w:p>
            <w:r/>
            <w:r>
              <w:rPr>
                <w:b w:val="0"/>
                <w:sz w:val="18"/>
              </w:rPr>
              <w:t>Folic acid is a small, common targeting ligand used in receptor-based cancer models.</w:t>
            </w:r>
          </w:p>
        </w:tc>
      </w:tr>
      <w:tr>
        <w:tc>
          <w:tcPr>
            <w:tcW w:type="dxa" w:w="5112"/>
            <w:vAlign w:val="top"/>
          </w:tcPr>
          <w:p>
            <w:r/>
            <w:r>
              <w:rPr>
                <w:b w:val="0"/>
                <w:sz w:val="18"/>
              </w:rPr>
              <w:t>What NSL does</w:t>
            </w:r>
          </w:p>
        </w:tc>
        <w:tc>
          <w:tcPr>
            <w:tcW w:type="dxa" w:w="5112"/>
            <w:vAlign w:val="top"/>
          </w:tcPr>
          <w:p>
            <w:r/>
            <w:r>
              <w:rPr>
                <w:b w:val="0"/>
                <w:sz w:val="18"/>
              </w:rPr>
              <w:t>Supports dispensing, stirring, waiting, mild heating, sonication, and visual documentation.</w:t>
            </w:r>
          </w:p>
        </w:tc>
      </w:tr>
      <w:tr>
        <w:tc>
          <w:tcPr>
            <w:tcW w:type="dxa" w:w="5112"/>
            <w:vAlign w:val="top"/>
          </w:tcPr>
          <w:p>
            <w:r/>
            <w:r>
              <w:rPr>
                <w:b w:val="0"/>
                <w:sz w:val="18"/>
              </w:rPr>
              <w:t>What remains external</w:t>
            </w:r>
          </w:p>
        </w:tc>
        <w:tc>
          <w:tcPr>
            <w:tcW w:type="dxa" w:w="5112"/>
            <w:vAlign w:val="top"/>
          </w:tcPr>
          <w:p>
            <w:r/>
            <w:r>
              <w:rPr>
                <w:b w:val="0"/>
                <w:sz w:val="18"/>
              </w:rPr>
              <w:t>Conjugation confirmation, particle size, ligand density, and cell uptake testing.</w:t>
            </w:r>
          </w:p>
        </w:tc>
      </w:tr>
      <w:tr>
        <w:tc>
          <w:tcPr>
            <w:tcW w:type="dxa" w:w="5112"/>
            <w:vAlign w:val="top"/>
          </w:tcPr>
          <w:p>
            <w:r/>
            <w:r>
              <w:rPr>
                <w:b w:val="0"/>
                <w:sz w:val="18"/>
              </w:rPr>
              <w:t>What not to claim</w:t>
            </w:r>
          </w:p>
        </w:tc>
        <w:tc>
          <w:tcPr>
            <w:tcW w:type="dxa" w:w="5112"/>
            <w:vAlign w:val="top"/>
          </w:tcPr>
          <w:p>
            <w:r/>
            <w:r>
              <w:rPr>
                <w:b w:val="0"/>
                <w:sz w:val="18"/>
              </w:rPr>
              <w:t>Do not claim therapy, diagnosis, selectivity, or clinical use from preparation alone.</w:t>
            </w:r>
          </w:p>
        </w:tc>
      </w:tr>
    </w:tbl>
    <w:p>
      <w:pPr>
        <w:spacing w:after="120" w:line="259" w:lineRule="auto"/>
      </w:pPr>
    </w:p>
    <w:p>
      <w:pPr>
        <w:spacing w:after="120" w:line="259" w:lineRule="auto"/>
      </w:pPr>
      <w:r>
        <w:t>A simple webinar explanation could be:</w:t>
      </w:r>
    </w:p>
    <w:p>
      <w:pPr>
        <w:spacing w:after="120" w:line="259" w:lineRule="auto"/>
      </w:pPr>
      <w:r>
        <w:rPr>
          <w:i/>
        </w:rPr>
        <w:t>“In this protocol, we start with a nanoparticle dispersion and modify its surface with folic acid as a targeting ligand model. Protoly organizes the workflow, while NSL supports the physical steps such as liquid addition, mixing, incubation, and documentation. The final material is only a research model until external characterization and biological uptake studies confirm its behaviour.”</w:t>
      </w:r>
    </w:p>
    <w:p>
      <w:pPr>
        <w:pStyle w:val="Heading1"/>
        <w:spacing w:after="120" w:line="259" w:lineRule="auto"/>
      </w:pPr>
      <w:r>
        <w:t>15. How This Protocol Fits in the Larger Protoly Library</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Related Protoly protocol type</w:t>
            </w:r>
          </w:p>
        </w:tc>
        <w:tc>
          <w:tcPr>
            <w:tcW w:type="dxa" w:w="5112"/>
            <w:shd w:fill="D9EAF7"/>
            <w:vAlign w:val="center"/>
          </w:tcPr>
          <w:p>
            <w:r/>
            <w:r>
              <w:rPr>
                <w:b/>
                <w:sz w:val="18"/>
              </w:rPr>
              <w:t>Connection with Protocol 11</w:t>
            </w:r>
          </w:p>
        </w:tc>
      </w:tr>
      <w:tr>
        <w:tc>
          <w:tcPr>
            <w:tcW w:type="dxa" w:w="5112"/>
            <w:vAlign w:val="top"/>
          </w:tcPr>
          <w:p>
            <w:r/>
            <w:r>
              <w:rPr>
                <w:b w:val="0"/>
                <w:sz w:val="18"/>
              </w:rPr>
              <w:t>Chitosan nanoparticles</w:t>
            </w:r>
          </w:p>
        </w:tc>
        <w:tc>
          <w:tcPr>
            <w:tcW w:type="dxa" w:w="5112"/>
            <w:vAlign w:val="top"/>
          </w:tcPr>
          <w:p>
            <w:r/>
            <w:r>
              <w:rPr>
                <w:b w:val="0"/>
                <w:sz w:val="18"/>
              </w:rPr>
              <w:t>Can provide a polymeric nanoparticle base for folate functionalization.</w:t>
            </w:r>
          </w:p>
        </w:tc>
      </w:tr>
      <w:tr>
        <w:tc>
          <w:tcPr>
            <w:tcW w:type="dxa" w:w="5112"/>
            <w:vAlign w:val="top"/>
          </w:tcPr>
          <w:p>
            <w:r/>
            <w:r>
              <w:rPr>
                <w:b w:val="0"/>
                <w:sz w:val="18"/>
              </w:rPr>
              <w:t>Iron oxide nanoparticle conditioning</w:t>
            </w:r>
          </w:p>
        </w:tc>
        <w:tc>
          <w:tcPr>
            <w:tcW w:type="dxa" w:w="5112"/>
            <w:vAlign w:val="top"/>
          </w:tcPr>
          <w:p>
            <w:r/>
            <w:r>
              <w:rPr>
                <w:b w:val="0"/>
                <w:sz w:val="18"/>
              </w:rPr>
              <w:t>Can lead to folate-modified theranostic model particles.</w:t>
            </w:r>
          </w:p>
        </w:tc>
      </w:tr>
      <w:tr>
        <w:tc>
          <w:tcPr>
            <w:tcW w:type="dxa" w:w="5112"/>
            <w:vAlign w:val="top"/>
          </w:tcPr>
          <w:p>
            <w:r/>
            <w:r>
              <w:rPr>
                <w:b w:val="0"/>
                <w:sz w:val="18"/>
              </w:rPr>
              <w:t>Protein corona study</w:t>
            </w:r>
          </w:p>
        </w:tc>
        <w:tc>
          <w:tcPr>
            <w:tcW w:type="dxa" w:w="5112"/>
            <w:vAlign w:val="top"/>
          </w:tcPr>
          <w:p>
            <w:r/>
            <w:r>
              <w:rPr>
                <w:b w:val="0"/>
                <w:sz w:val="18"/>
              </w:rPr>
              <w:t>Can examine whether biological proteins mask folate targeting ligands.</w:t>
            </w:r>
          </w:p>
        </w:tc>
      </w:tr>
      <w:tr>
        <w:tc>
          <w:tcPr>
            <w:tcW w:type="dxa" w:w="5112"/>
            <w:vAlign w:val="top"/>
          </w:tcPr>
          <w:p>
            <w:r/>
            <w:r>
              <w:rPr>
                <w:b w:val="0"/>
                <w:sz w:val="18"/>
              </w:rPr>
              <w:t>Antibody conjugation protocols</w:t>
            </w:r>
          </w:p>
        </w:tc>
        <w:tc>
          <w:tcPr>
            <w:tcW w:type="dxa" w:w="5112"/>
            <w:vAlign w:val="top"/>
          </w:tcPr>
          <w:p>
            <w:r/>
            <w:r>
              <w:rPr>
                <w:b w:val="0"/>
                <w:sz w:val="18"/>
              </w:rPr>
              <w:t>A different ligand strategy for biomolecular targeting.</w:t>
            </w:r>
          </w:p>
        </w:tc>
      </w:tr>
      <w:tr>
        <w:tc>
          <w:tcPr>
            <w:tcW w:type="dxa" w:w="5112"/>
            <w:vAlign w:val="top"/>
          </w:tcPr>
          <w:p>
            <w:r/>
            <w:r>
              <w:rPr>
                <w:b w:val="0"/>
                <w:sz w:val="18"/>
              </w:rPr>
              <w:t>Liposome drug delivery model</w:t>
            </w:r>
          </w:p>
        </w:tc>
        <w:tc>
          <w:tcPr>
            <w:tcW w:type="dxa" w:w="5112"/>
            <w:vAlign w:val="top"/>
          </w:tcPr>
          <w:p>
            <w:r/>
            <w:r>
              <w:rPr>
                <w:b w:val="0"/>
                <w:sz w:val="18"/>
              </w:rPr>
              <w:t>Can be extended to folate-functionalized lipid carriers.</w:t>
            </w:r>
          </w:p>
        </w:tc>
      </w:tr>
      <w:tr>
        <w:tc>
          <w:tcPr>
            <w:tcW w:type="dxa" w:w="5112"/>
            <w:vAlign w:val="top"/>
          </w:tcPr>
          <w:p>
            <w:r/>
            <w:r>
              <w:rPr>
                <w:b w:val="0"/>
                <w:sz w:val="18"/>
              </w:rPr>
              <w:t>Cancer-related nanoparticle screening</w:t>
            </w:r>
          </w:p>
        </w:tc>
        <w:tc>
          <w:tcPr>
            <w:tcW w:type="dxa" w:w="5112"/>
            <w:vAlign w:val="top"/>
          </w:tcPr>
          <w:p>
            <w:r/>
            <w:r>
              <w:rPr>
                <w:b w:val="0"/>
                <w:sz w:val="18"/>
              </w:rPr>
              <w:t>Protocol 11 provides a targeting-ligand preparation stage.</w:t>
            </w:r>
          </w:p>
        </w:tc>
      </w:tr>
    </w:tbl>
    <w:p>
      <w:pPr>
        <w:spacing w:after="120" w:line="259" w:lineRule="auto"/>
      </w:pPr>
    </w:p>
    <w:p>
      <w:pPr>
        <w:spacing w:after="120" w:line="259" w:lineRule="auto"/>
      </w:pPr>
      <w:r>
        <w:t>This protocol adds an important concept to the library: surface functionalization for targeting. It is not only about making nanoparticles, but about modifying their biological interface.</w:t>
      </w:r>
    </w:p>
    <w:p>
      <w:pPr>
        <w:pStyle w:val="Heading1"/>
        <w:spacing w:after="120" w:line="259" w:lineRule="auto"/>
      </w:pPr>
      <w:r>
        <w:t>16. Safety and Ethical Communication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Safety / communication point</w:t>
            </w:r>
          </w:p>
        </w:tc>
        <w:tc>
          <w:tcPr>
            <w:tcW w:type="dxa" w:w="5112"/>
            <w:shd w:fill="D9EAF7"/>
            <w:vAlign w:val="center"/>
          </w:tcPr>
          <w:p>
            <w:r/>
            <w:r>
              <w:rPr>
                <w:b/>
                <w:sz w:val="18"/>
              </w:rPr>
              <w:t>Explanation</w:t>
            </w:r>
          </w:p>
        </w:tc>
      </w:tr>
      <w:tr>
        <w:tc>
          <w:tcPr>
            <w:tcW w:type="dxa" w:w="5112"/>
            <w:vAlign w:val="top"/>
          </w:tcPr>
          <w:p>
            <w:r/>
            <w:r>
              <w:rPr>
                <w:b w:val="0"/>
                <w:sz w:val="18"/>
              </w:rPr>
              <w:t>Use research-grade framing</w:t>
            </w:r>
          </w:p>
        </w:tc>
        <w:tc>
          <w:tcPr>
            <w:tcW w:type="dxa" w:w="5112"/>
            <w:vAlign w:val="top"/>
          </w:tcPr>
          <w:p>
            <w:r/>
            <w:r>
              <w:rPr>
                <w:b w:val="0"/>
                <w:sz w:val="18"/>
              </w:rPr>
              <w:t>Do not describe the sample as a cancer treatment or diagnostic.</w:t>
            </w:r>
          </w:p>
        </w:tc>
      </w:tr>
      <w:tr>
        <w:tc>
          <w:tcPr>
            <w:tcW w:type="dxa" w:w="5112"/>
            <w:vAlign w:val="top"/>
          </w:tcPr>
          <w:p>
            <w:r/>
            <w:r>
              <w:rPr>
                <w:b w:val="0"/>
                <w:sz w:val="18"/>
              </w:rPr>
              <w:t>Use safe model systems</w:t>
            </w:r>
          </w:p>
        </w:tc>
        <w:tc>
          <w:tcPr>
            <w:tcW w:type="dxa" w:w="5112"/>
            <w:vAlign w:val="top"/>
          </w:tcPr>
          <w:p>
            <w:r/>
            <w:r>
              <w:rPr>
                <w:b w:val="0"/>
                <w:sz w:val="18"/>
              </w:rPr>
              <w:t>Avoid uncontrolled handling of therapeutic drugs or biological samples in webinar demonstration.</w:t>
            </w:r>
          </w:p>
        </w:tc>
      </w:tr>
      <w:tr>
        <w:tc>
          <w:tcPr>
            <w:tcW w:type="dxa" w:w="5112"/>
            <w:vAlign w:val="top"/>
          </w:tcPr>
          <w:p>
            <w:r/>
            <w:r>
              <w:rPr>
                <w:b w:val="0"/>
                <w:sz w:val="18"/>
              </w:rPr>
              <w:t>Handle coupling reagents carefully</w:t>
            </w:r>
          </w:p>
        </w:tc>
        <w:tc>
          <w:tcPr>
            <w:tcW w:type="dxa" w:w="5112"/>
            <w:vAlign w:val="top"/>
          </w:tcPr>
          <w:p>
            <w:r/>
            <w:r>
              <w:rPr>
                <w:b w:val="0"/>
                <w:sz w:val="18"/>
              </w:rPr>
              <w:t>EDC/NHS or similar reagents require PPE and proper disposal.</w:t>
            </w:r>
          </w:p>
        </w:tc>
      </w:tr>
      <w:tr>
        <w:tc>
          <w:tcPr>
            <w:tcW w:type="dxa" w:w="5112"/>
            <w:vAlign w:val="top"/>
          </w:tcPr>
          <w:p>
            <w:r/>
            <w:r>
              <w:rPr>
                <w:b w:val="0"/>
                <w:sz w:val="18"/>
              </w:rPr>
              <w:t>Label all batches clearly</w:t>
            </w:r>
          </w:p>
        </w:tc>
        <w:tc>
          <w:tcPr>
            <w:tcW w:type="dxa" w:w="5112"/>
            <w:vAlign w:val="top"/>
          </w:tcPr>
          <w:p>
            <w:r/>
            <w:r>
              <w:rPr>
                <w:b w:val="0"/>
                <w:sz w:val="18"/>
              </w:rPr>
              <w:t>Avoid confusion between control and folate-modified samples.</w:t>
            </w:r>
          </w:p>
        </w:tc>
      </w:tr>
      <w:tr>
        <w:tc>
          <w:tcPr>
            <w:tcW w:type="dxa" w:w="5112"/>
            <w:vAlign w:val="top"/>
          </w:tcPr>
          <w:p>
            <w:r/>
            <w:r>
              <w:rPr>
                <w:b w:val="0"/>
                <w:sz w:val="18"/>
              </w:rPr>
              <w:t>Avoid direct biological claims</w:t>
            </w:r>
          </w:p>
        </w:tc>
        <w:tc>
          <w:tcPr>
            <w:tcW w:type="dxa" w:w="5112"/>
            <w:vAlign w:val="top"/>
          </w:tcPr>
          <w:p>
            <w:r/>
            <w:r>
              <w:rPr>
                <w:b w:val="0"/>
                <w:sz w:val="18"/>
              </w:rPr>
              <w:t>Cell targeting requires validated cell-based evidence.</w:t>
            </w:r>
          </w:p>
        </w:tc>
      </w:tr>
      <w:tr>
        <w:tc>
          <w:tcPr>
            <w:tcW w:type="dxa" w:w="5112"/>
            <w:vAlign w:val="top"/>
          </w:tcPr>
          <w:p>
            <w:r/>
            <w:r>
              <w:rPr>
                <w:b w:val="0"/>
                <w:sz w:val="18"/>
              </w:rPr>
              <w:t>Dispose nanoparticle waste properly</w:t>
            </w:r>
          </w:p>
        </w:tc>
        <w:tc>
          <w:tcPr>
            <w:tcW w:type="dxa" w:w="5112"/>
            <w:vAlign w:val="top"/>
          </w:tcPr>
          <w:p>
            <w:r/>
            <w:r>
              <w:rPr>
                <w:b w:val="0"/>
                <w:sz w:val="18"/>
              </w:rPr>
              <w:t>Follow laboratory nanomaterial waste practices.</w:t>
            </w:r>
          </w:p>
        </w:tc>
      </w:tr>
      <w:tr>
        <w:tc>
          <w:tcPr>
            <w:tcW w:type="dxa" w:w="5112"/>
            <w:vAlign w:val="top"/>
          </w:tcPr>
          <w:p>
            <w:r/>
            <w:r>
              <w:rPr>
                <w:b w:val="0"/>
                <w:sz w:val="18"/>
              </w:rPr>
              <w:t>Keep solvent or hazardous chemistry offline</w:t>
            </w:r>
          </w:p>
        </w:tc>
        <w:tc>
          <w:tcPr>
            <w:tcW w:type="dxa" w:w="5112"/>
            <w:vAlign w:val="top"/>
          </w:tcPr>
          <w:p>
            <w:r/>
            <w:r>
              <w:rPr>
                <w:b w:val="0"/>
                <w:sz w:val="18"/>
              </w:rPr>
              <w:t>Do not perform unsafe chemical steps during public demonstration.</w:t>
            </w:r>
          </w:p>
        </w:tc>
      </w:tr>
    </w:tbl>
    <w:p>
      <w:pPr>
        <w:spacing w:after="120" w:line="259" w:lineRule="auto"/>
      </w:pPr>
    </w:p>
    <w:p>
      <w:pPr>
        <w:pStyle w:val="Heading1"/>
        <w:spacing w:after="120" w:line="259" w:lineRule="auto"/>
      </w:pPr>
      <w:r>
        <w:t>17. Limitations</w:t>
      </w:r>
    </w:p>
    <w:p>
      <w:pPr>
        <w:pStyle w:val="ListBullet"/>
        <w:spacing w:after="120" w:line="259" w:lineRule="auto"/>
      </w:pPr>
      <w:r>
        <w:t>The protocol does not prove folic acid conjugation by itself.</w:t>
      </w:r>
    </w:p>
    <w:p>
      <w:pPr>
        <w:pStyle w:val="ListBullet"/>
        <w:spacing w:after="120" w:line="259" w:lineRule="auto"/>
      </w:pPr>
      <w:r>
        <w:t>The protocol does not measure particle size or zeta potential inside NSL.</w:t>
      </w:r>
    </w:p>
    <w:p>
      <w:pPr>
        <w:pStyle w:val="ListBullet"/>
        <w:spacing w:after="120" w:line="259" w:lineRule="auto"/>
      </w:pPr>
      <w:r>
        <w:t>The protocol does not quantify folate density on the nanoparticle surface.</w:t>
      </w:r>
    </w:p>
    <w:p>
      <w:pPr>
        <w:pStyle w:val="ListBullet"/>
        <w:spacing w:after="120" w:line="259" w:lineRule="auto"/>
      </w:pPr>
      <w:r>
        <w:t>The protocol does not prove receptor-mediated uptake.</w:t>
      </w:r>
    </w:p>
    <w:p>
      <w:pPr>
        <w:pStyle w:val="ListBullet"/>
        <w:spacing w:after="120" w:line="259" w:lineRule="auto"/>
      </w:pPr>
      <w:r>
        <w:t>The protocol does not demonstrate cancer-cell selectivity.</w:t>
      </w:r>
    </w:p>
    <w:p>
      <w:pPr>
        <w:pStyle w:val="ListBullet"/>
        <w:spacing w:after="120" w:line="259" w:lineRule="auto"/>
      </w:pPr>
      <w:r>
        <w:t>The protocol does not prove therapeutic efficacy.</w:t>
      </w:r>
    </w:p>
    <w:p>
      <w:pPr>
        <w:pStyle w:val="ListBullet"/>
        <w:spacing w:after="120" w:line="259" w:lineRule="auto"/>
      </w:pPr>
      <w:r>
        <w:t>The protocol does not include validated cytotoxicity or biocompatibility testing.</w:t>
      </w:r>
    </w:p>
    <w:p>
      <w:pPr>
        <w:pStyle w:val="ListBullet"/>
        <w:spacing w:after="120" w:line="259" w:lineRule="auto"/>
      </w:pPr>
      <w:r>
        <w:t>The protocol does not replace external purification and characterization.</w:t>
      </w:r>
    </w:p>
    <w:p>
      <w:pPr>
        <w:pStyle w:val="ListBullet"/>
        <w:spacing w:after="120" w:line="259" w:lineRule="auto"/>
      </w:pPr>
      <w:r>
        <w:t>The protocol does not produce a clinical or regulatory-ready product.</w:t>
      </w:r>
    </w:p>
    <w:p>
      <w:pPr>
        <w:spacing w:after="120" w:line="259" w:lineRule="auto"/>
      </w:pPr>
      <w:r>
        <w:t>These limitations should be stated clearly so that the protocol remains credible and scientifically responsible.</w:t>
      </w:r>
    </w:p>
    <w:p>
      <w:pPr>
        <w:pStyle w:val="Heading1"/>
        <w:spacing w:after="120" w:line="259" w:lineRule="auto"/>
      </w:pPr>
      <w:r>
        <w:t>18. Future Development Possibilities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r/>
            <w:r>
              <w:rPr>
                <w:b/>
                <w:sz w:val="18"/>
              </w:rPr>
              <w:t>Future workflow</w:t>
            </w:r>
          </w:p>
        </w:tc>
        <w:tc>
          <w:tcPr>
            <w:tcW w:type="dxa" w:w="5112"/>
            <w:shd w:fill="D9EAF7"/>
            <w:vAlign w:val="center"/>
          </w:tcPr>
          <w:p>
            <w:r/>
            <w:r>
              <w:rPr>
                <w:b/>
                <w:sz w:val="18"/>
              </w:rPr>
              <w:t>Purpose</w:t>
            </w:r>
          </w:p>
        </w:tc>
      </w:tr>
      <w:tr>
        <w:tc>
          <w:tcPr>
            <w:tcW w:type="dxa" w:w="5112"/>
            <w:vAlign w:val="top"/>
          </w:tcPr>
          <w:p>
            <w:r/>
            <w:r>
              <w:rPr>
                <w:b w:val="0"/>
                <w:sz w:val="18"/>
              </w:rPr>
              <w:t>Folate density optimization</w:t>
            </w:r>
          </w:p>
        </w:tc>
        <w:tc>
          <w:tcPr>
            <w:tcW w:type="dxa" w:w="5112"/>
            <w:vAlign w:val="top"/>
          </w:tcPr>
          <w:p>
            <w:r/>
            <w:r>
              <w:rPr>
                <w:b w:val="0"/>
                <w:sz w:val="18"/>
              </w:rPr>
              <w:t>Compare different folic acid concentrations and reaction times.</w:t>
            </w:r>
          </w:p>
        </w:tc>
      </w:tr>
      <w:tr>
        <w:tc>
          <w:tcPr>
            <w:tcW w:type="dxa" w:w="5112"/>
            <w:vAlign w:val="top"/>
          </w:tcPr>
          <w:p>
            <w:r/>
            <w:r>
              <w:rPr>
                <w:b w:val="0"/>
                <w:sz w:val="18"/>
              </w:rPr>
              <w:t>Folate-conjugated chitosan nanoparticles</w:t>
            </w:r>
          </w:p>
        </w:tc>
        <w:tc>
          <w:tcPr>
            <w:tcW w:type="dxa" w:w="5112"/>
            <w:vAlign w:val="top"/>
          </w:tcPr>
          <w:p>
            <w:r/>
            <w:r>
              <w:rPr>
                <w:b w:val="0"/>
                <w:sz w:val="18"/>
              </w:rPr>
              <w:t>Develop a polymeric targeting model.</w:t>
            </w:r>
          </w:p>
        </w:tc>
      </w:tr>
      <w:tr>
        <w:tc>
          <w:tcPr>
            <w:tcW w:type="dxa" w:w="5112"/>
            <w:vAlign w:val="top"/>
          </w:tcPr>
          <w:p>
            <w:r/>
            <w:r>
              <w:rPr>
                <w:b w:val="0"/>
                <w:sz w:val="18"/>
              </w:rPr>
              <w:t>Folate-conjugated iron oxide nanoparticles</w:t>
            </w:r>
          </w:p>
        </w:tc>
        <w:tc>
          <w:tcPr>
            <w:tcW w:type="dxa" w:w="5112"/>
            <w:vAlign w:val="top"/>
          </w:tcPr>
          <w:p>
            <w:r/>
            <w:r>
              <w:rPr>
                <w:b w:val="0"/>
                <w:sz w:val="18"/>
              </w:rPr>
              <w:t>Build a theranostic or imaging-model protocol.</w:t>
            </w:r>
          </w:p>
        </w:tc>
      </w:tr>
      <w:tr>
        <w:tc>
          <w:tcPr>
            <w:tcW w:type="dxa" w:w="5112"/>
            <w:vAlign w:val="top"/>
          </w:tcPr>
          <w:p>
            <w:r/>
            <w:r>
              <w:rPr>
                <w:b w:val="0"/>
                <w:sz w:val="18"/>
              </w:rPr>
              <w:t>Folate-liposome preparation</w:t>
            </w:r>
          </w:p>
        </w:tc>
        <w:tc>
          <w:tcPr>
            <w:tcW w:type="dxa" w:w="5112"/>
            <w:vAlign w:val="top"/>
          </w:tcPr>
          <w:p>
            <w:r/>
            <w:r>
              <w:rPr>
                <w:b w:val="0"/>
                <w:sz w:val="18"/>
              </w:rPr>
              <w:t>Extend ligand targeting to lipid vesicle systems.</w:t>
            </w:r>
          </w:p>
        </w:tc>
      </w:tr>
      <w:tr>
        <w:tc>
          <w:tcPr>
            <w:tcW w:type="dxa" w:w="5112"/>
            <w:vAlign w:val="top"/>
          </w:tcPr>
          <w:p>
            <w:r/>
            <w:r>
              <w:rPr>
                <w:b w:val="0"/>
                <w:sz w:val="18"/>
              </w:rPr>
              <w:t>Protein corona effect on folate targeting</w:t>
            </w:r>
          </w:p>
        </w:tc>
        <w:tc>
          <w:tcPr>
            <w:tcW w:type="dxa" w:w="5112"/>
            <w:vAlign w:val="top"/>
          </w:tcPr>
          <w:p>
            <w:r/>
            <w:r>
              <w:rPr>
                <w:b w:val="0"/>
                <w:sz w:val="18"/>
              </w:rPr>
              <w:t>Study whether serum proteins reduce ligand accessibility.</w:t>
            </w:r>
          </w:p>
        </w:tc>
      </w:tr>
      <w:tr>
        <w:tc>
          <w:tcPr>
            <w:tcW w:type="dxa" w:w="5112"/>
            <w:vAlign w:val="top"/>
          </w:tcPr>
          <w:p>
            <w:r/>
            <w:r>
              <w:rPr>
                <w:b w:val="0"/>
                <w:sz w:val="18"/>
              </w:rPr>
              <w:t>Cell uptake comparison study</w:t>
            </w:r>
          </w:p>
        </w:tc>
        <w:tc>
          <w:tcPr>
            <w:tcW w:type="dxa" w:w="5112"/>
            <w:vAlign w:val="top"/>
          </w:tcPr>
          <w:p>
            <w:r/>
            <w:r>
              <w:rPr>
                <w:b w:val="0"/>
                <w:sz w:val="18"/>
              </w:rPr>
              <w:t>Compare folate-modified and non-modified nanoparticles.</w:t>
            </w:r>
          </w:p>
        </w:tc>
      </w:tr>
      <w:tr>
        <w:tc>
          <w:tcPr>
            <w:tcW w:type="dxa" w:w="5112"/>
            <w:vAlign w:val="top"/>
          </w:tcPr>
          <w:p>
            <w:r/>
            <w:r>
              <w:rPr>
                <w:b w:val="0"/>
                <w:sz w:val="18"/>
              </w:rPr>
              <w:t>Free folic acid competition assay</w:t>
            </w:r>
          </w:p>
        </w:tc>
        <w:tc>
          <w:tcPr>
            <w:tcW w:type="dxa" w:w="5112"/>
            <w:vAlign w:val="top"/>
          </w:tcPr>
          <w:p>
            <w:r/>
            <w:r>
              <w:rPr>
                <w:b w:val="0"/>
                <w:sz w:val="18"/>
              </w:rPr>
              <w:t>Support receptor-mediated uptake interpretation.</w:t>
            </w:r>
          </w:p>
        </w:tc>
      </w:tr>
      <w:tr>
        <w:tc>
          <w:tcPr>
            <w:tcW w:type="dxa" w:w="5112"/>
            <w:vAlign w:val="top"/>
          </w:tcPr>
          <w:p>
            <w:r/>
            <w:r>
              <w:rPr>
                <w:b w:val="0"/>
                <w:sz w:val="18"/>
              </w:rPr>
              <w:t>Payload-loaded folate nanoparticle model</w:t>
            </w:r>
          </w:p>
        </w:tc>
        <w:tc>
          <w:tcPr>
            <w:tcW w:type="dxa" w:w="5112"/>
            <w:vAlign w:val="top"/>
          </w:tcPr>
          <w:p>
            <w:r/>
            <w:r>
              <w:rPr>
                <w:b w:val="0"/>
                <w:sz w:val="18"/>
              </w:rPr>
              <w:t>Combine targeting with delivery concept.</w:t>
            </w:r>
          </w:p>
        </w:tc>
      </w:tr>
      <w:tr>
        <w:tc>
          <w:tcPr>
            <w:tcW w:type="dxa" w:w="5112"/>
            <w:vAlign w:val="top"/>
          </w:tcPr>
          <w:p>
            <w:r/>
            <w:r>
              <w:rPr>
                <w:b w:val="0"/>
                <w:sz w:val="18"/>
              </w:rPr>
              <w:t>Manual vs NSL-assisted conjugation comparison</w:t>
            </w:r>
          </w:p>
        </w:tc>
        <w:tc>
          <w:tcPr>
            <w:tcW w:type="dxa" w:w="5112"/>
            <w:vAlign w:val="top"/>
          </w:tcPr>
          <w:p>
            <w:r/>
            <w:r>
              <w:rPr>
                <w:b w:val="0"/>
                <w:sz w:val="18"/>
              </w:rPr>
              <w:t>Evaluate reproducibility benefit of structured workflow.</w:t>
            </w:r>
          </w:p>
        </w:tc>
      </w:tr>
    </w:tbl>
    <w:p>
      <w:pPr>
        <w:spacing w:after="120" w:line="259" w:lineRule="auto"/>
      </w:pPr>
    </w:p>
    <w:p>
      <w:pPr>
        <w:pStyle w:val="Heading1"/>
        <w:spacing w:after="120" w:line="259" w:lineRule="auto"/>
      </w:pPr>
      <w:r>
        <w:t>19. Suggested Batch Record Format</w:t>
      </w:r>
    </w:p>
    <w:tbl>
      <w:tblPr>
        <w:tblStyle w:val="TableGrid"/>
        <w:tblW w:type="auto" w:w="0"/>
        <w:jc w:val="center"/>
        <w:tblLook w:firstColumn="1" w:firstRow="1" w:lastColumn="0" w:lastRow="0" w:noHBand="0" w:noVBand="1" w:val="04A0"/>
      </w:tblPr>
      <w:tblGrid>
        <w:gridCol w:w="1278"/>
        <w:gridCol w:w="1278"/>
        <w:gridCol w:w="1278"/>
        <w:gridCol w:w="1278"/>
        <w:gridCol w:w="1278"/>
        <w:gridCol w:w="1278"/>
        <w:gridCol w:w="1278"/>
        <w:gridCol w:w="1278"/>
      </w:tblGrid>
      <w:tr>
        <w:tc>
          <w:tcPr>
            <w:tcW w:type="dxa" w:w="1278"/>
            <w:shd w:fill="D9EAF7"/>
            <w:vAlign w:val="center"/>
          </w:tcPr>
          <w:p>
            <w:r/>
            <w:r>
              <w:rPr>
                <w:b/>
                <w:sz w:val="18"/>
              </w:rPr>
              <w:t>Batch ID</w:t>
            </w:r>
          </w:p>
        </w:tc>
        <w:tc>
          <w:tcPr>
            <w:tcW w:type="dxa" w:w="1278"/>
            <w:shd w:fill="D9EAF7"/>
            <w:vAlign w:val="center"/>
          </w:tcPr>
          <w:p>
            <w:r/>
            <w:r>
              <w:rPr>
                <w:b/>
                <w:sz w:val="18"/>
              </w:rPr>
              <w:t>Nanoparticle</w:t>
            </w:r>
          </w:p>
        </w:tc>
        <w:tc>
          <w:tcPr>
            <w:tcW w:type="dxa" w:w="1278"/>
            <w:shd w:fill="D9EAF7"/>
            <w:vAlign w:val="center"/>
          </w:tcPr>
          <w:p>
            <w:r/>
            <w:r>
              <w:rPr>
                <w:b/>
                <w:sz w:val="18"/>
              </w:rPr>
              <w:t>Folate amount</w:t>
            </w:r>
          </w:p>
        </w:tc>
        <w:tc>
          <w:tcPr>
            <w:tcW w:type="dxa" w:w="1278"/>
            <w:shd w:fill="D9EAF7"/>
            <w:vAlign w:val="center"/>
          </w:tcPr>
          <w:p>
            <w:r/>
            <w:r>
              <w:rPr>
                <w:b/>
                <w:sz w:val="18"/>
              </w:rPr>
              <w:t>Linker/activation</w:t>
            </w:r>
          </w:p>
        </w:tc>
        <w:tc>
          <w:tcPr>
            <w:tcW w:type="dxa" w:w="1278"/>
            <w:shd w:fill="D9EAF7"/>
            <w:vAlign w:val="center"/>
          </w:tcPr>
          <w:p>
            <w:r/>
            <w:r>
              <w:rPr>
                <w:b/>
                <w:sz w:val="18"/>
              </w:rPr>
              <w:t>Stirring RPM</w:t>
            </w:r>
          </w:p>
        </w:tc>
        <w:tc>
          <w:tcPr>
            <w:tcW w:type="dxa" w:w="1278"/>
            <w:shd w:fill="D9EAF7"/>
            <w:vAlign w:val="center"/>
          </w:tcPr>
          <w:p>
            <w:r/>
            <w:r>
              <w:rPr>
                <w:b/>
                <w:sz w:val="18"/>
              </w:rPr>
              <w:t>Incubation</w:t>
            </w:r>
          </w:p>
        </w:tc>
        <w:tc>
          <w:tcPr>
            <w:tcW w:type="dxa" w:w="1278"/>
            <w:shd w:fill="D9EAF7"/>
            <w:vAlign w:val="center"/>
          </w:tcPr>
          <w:p>
            <w:r/>
            <w:r>
              <w:rPr>
                <w:b/>
                <w:sz w:val="18"/>
              </w:rPr>
              <w:t>Appearance</w:t>
            </w:r>
          </w:p>
        </w:tc>
        <w:tc>
          <w:tcPr>
            <w:tcW w:type="dxa" w:w="1278"/>
            <w:shd w:fill="D9EAF7"/>
            <w:vAlign w:val="center"/>
          </w:tcPr>
          <w:p>
            <w:r/>
            <w:r>
              <w:rPr>
                <w:b/>
                <w:sz w:val="18"/>
              </w:rPr>
              <w:t>External tests planned</w:t>
            </w:r>
          </w:p>
        </w:tc>
      </w:tr>
      <w:tr>
        <w:tc>
          <w:tcPr>
            <w:tcW w:type="dxa" w:w="1278"/>
            <w:vAlign w:val="top"/>
          </w:tcPr>
          <w:p>
            <w:r/>
            <w:r>
              <w:rPr>
                <w:b w:val="0"/>
                <w:sz w:val="18"/>
              </w:rPr>
              <w:t>FA-NP-01</w:t>
            </w:r>
          </w:p>
        </w:tc>
        <w:tc>
          <w:tcPr>
            <w:tcW w:type="dxa" w:w="1278"/>
            <w:vAlign w:val="top"/>
          </w:tcPr>
          <w:p>
            <w:r/>
            <w:r>
              <w:rPr>
                <w:b w:val="0"/>
                <w:sz w:val="18"/>
              </w:rPr>
              <w:t>Base NP control</w:t>
            </w:r>
          </w:p>
        </w:tc>
        <w:tc>
          <w:tcPr>
            <w:tcW w:type="dxa" w:w="1278"/>
            <w:vAlign w:val="top"/>
          </w:tcPr>
          <w:p>
            <w:r/>
            <w:r>
              <w:rPr>
                <w:b w:val="0"/>
                <w:sz w:val="18"/>
              </w:rPr>
              <w:t>None</w:t>
            </w:r>
          </w:p>
        </w:tc>
        <w:tc>
          <w:tcPr>
            <w:tcW w:type="dxa" w:w="1278"/>
            <w:vAlign w:val="top"/>
          </w:tcPr>
          <w:p>
            <w:r/>
            <w:r>
              <w:rPr>
                <w:b w:val="0"/>
                <w:sz w:val="18"/>
              </w:rPr>
              <w:t>None</w:t>
            </w:r>
          </w:p>
        </w:tc>
        <w:tc>
          <w:tcPr>
            <w:tcW w:type="dxa" w:w="1278"/>
            <w:vAlign w:val="top"/>
          </w:tcPr>
          <w:p>
            <w:r/>
            <w:r>
              <w:rPr>
                <w:b w:val="0"/>
                <w:sz w:val="18"/>
              </w:rPr>
              <w:t>350</w:t>
            </w:r>
          </w:p>
        </w:tc>
        <w:tc>
          <w:tcPr>
            <w:tcW w:type="dxa" w:w="1278"/>
            <w:vAlign w:val="top"/>
          </w:tcPr>
          <w:p>
            <w:r/>
            <w:r>
              <w:rPr>
                <w:b w:val="0"/>
                <w:sz w:val="18"/>
              </w:rPr>
              <w:t>60 min</w:t>
            </w:r>
          </w:p>
        </w:tc>
        <w:tc>
          <w:tcPr>
            <w:tcW w:type="dxa" w:w="1278"/>
            <w:vAlign w:val="top"/>
          </w:tcPr>
          <w:p>
            <w:r/>
            <w:r>
              <w:rPr>
                <w:b w:val="0"/>
                <w:sz w:val="18"/>
              </w:rPr>
              <w:t>Uniform</w:t>
            </w:r>
          </w:p>
        </w:tc>
        <w:tc>
          <w:tcPr>
            <w:tcW w:type="dxa" w:w="1278"/>
            <w:vAlign w:val="top"/>
          </w:tcPr>
          <w:p>
            <w:r/>
            <w:r>
              <w:rPr>
                <w:b w:val="0"/>
                <w:sz w:val="18"/>
              </w:rPr>
              <w:t>DLS, zeta</w:t>
            </w:r>
          </w:p>
        </w:tc>
      </w:tr>
      <w:tr>
        <w:tc>
          <w:tcPr>
            <w:tcW w:type="dxa" w:w="1278"/>
            <w:vAlign w:val="top"/>
          </w:tcPr>
          <w:p>
            <w:r/>
            <w:r>
              <w:rPr>
                <w:b w:val="0"/>
                <w:sz w:val="18"/>
              </w:rPr>
              <w:t>FA-NP-02</w:t>
            </w:r>
          </w:p>
        </w:tc>
        <w:tc>
          <w:tcPr>
            <w:tcW w:type="dxa" w:w="1278"/>
            <w:vAlign w:val="top"/>
          </w:tcPr>
          <w:p>
            <w:r/>
            <w:r>
              <w:rPr>
                <w:b w:val="0"/>
                <w:sz w:val="18"/>
              </w:rPr>
              <w:t>Chitosan NP</w:t>
            </w:r>
          </w:p>
        </w:tc>
        <w:tc>
          <w:tcPr>
            <w:tcW w:type="dxa" w:w="1278"/>
            <w:vAlign w:val="top"/>
          </w:tcPr>
          <w:p>
            <w:r/>
            <w:r>
              <w:rPr>
                <w:b w:val="0"/>
                <w:sz w:val="18"/>
              </w:rPr>
              <w:t>Low</w:t>
            </w:r>
          </w:p>
        </w:tc>
        <w:tc>
          <w:tcPr>
            <w:tcW w:type="dxa" w:w="1278"/>
            <w:vAlign w:val="top"/>
          </w:tcPr>
          <w:p>
            <w:r/>
            <w:r>
              <w:rPr>
                <w:b w:val="0"/>
                <w:sz w:val="18"/>
              </w:rPr>
              <w:t>EDC/NHS model</w:t>
            </w:r>
          </w:p>
        </w:tc>
        <w:tc>
          <w:tcPr>
            <w:tcW w:type="dxa" w:w="1278"/>
            <w:vAlign w:val="top"/>
          </w:tcPr>
          <w:p>
            <w:r/>
            <w:r>
              <w:rPr>
                <w:b w:val="0"/>
                <w:sz w:val="18"/>
              </w:rPr>
              <w:t>350</w:t>
            </w:r>
          </w:p>
        </w:tc>
        <w:tc>
          <w:tcPr>
            <w:tcW w:type="dxa" w:w="1278"/>
            <w:vAlign w:val="top"/>
          </w:tcPr>
          <w:p>
            <w:r/>
            <w:r>
              <w:rPr>
                <w:b w:val="0"/>
                <w:sz w:val="18"/>
              </w:rPr>
              <w:t>120 min</w:t>
            </w:r>
          </w:p>
        </w:tc>
        <w:tc>
          <w:tcPr>
            <w:tcW w:type="dxa" w:w="1278"/>
            <w:vAlign w:val="top"/>
          </w:tcPr>
          <w:p>
            <w:r/>
            <w:r>
              <w:rPr>
                <w:b w:val="0"/>
                <w:sz w:val="18"/>
              </w:rPr>
              <w:t>Slight yellow tint</w:t>
            </w:r>
          </w:p>
        </w:tc>
        <w:tc>
          <w:tcPr>
            <w:tcW w:type="dxa" w:w="1278"/>
            <w:vAlign w:val="top"/>
          </w:tcPr>
          <w:p>
            <w:r/>
            <w:r>
              <w:rPr>
                <w:b w:val="0"/>
                <w:sz w:val="18"/>
              </w:rPr>
              <w:t>DLS, UV-Vis, FTIR</w:t>
            </w:r>
          </w:p>
        </w:tc>
      </w:tr>
      <w:tr>
        <w:tc>
          <w:tcPr>
            <w:tcW w:type="dxa" w:w="1278"/>
            <w:vAlign w:val="top"/>
          </w:tcPr>
          <w:p>
            <w:r/>
            <w:r>
              <w:rPr>
                <w:b w:val="0"/>
                <w:sz w:val="18"/>
              </w:rPr>
              <w:t>FA-NP-03</w:t>
            </w:r>
          </w:p>
        </w:tc>
        <w:tc>
          <w:tcPr>
            <w:tcW w:type="dxa" w:w="1278"/>
            <w:vAlign w:val="top"/>
          </w:tcPr>
          <w:p>
            <w:r/>
            <w:r>
              <w:rPr>
                <w:b w:val="0"/>
                <w:sz w:val="18"/>
              </w:rPr>
              <w:t>Iron oxide NP</w:t>
            </w:r>
          </w:p>
        </w:tc>
        <w:tc>
          <w:tcPr>
            <w:tcW w:type="dxa" w:w="1278"/>
            <w:vAlign w:val="top"/>
          </w:tcPr>
          <w:p>
            <w:r/>
            <w:r>
              <w:rPr>
                <w:b w:val="0"/>
                <w:sz w:val="18"/>
              </w:rPr>
              <w:t>Medium</w:t>
            </w:r>
          </w:p>
        </w:tc>
        <w:tc>
          <w:tcPr>
            <w:tcW w:type="dxa" w:w="1278"/>
            <w:vAlign w:val="top"/>
          </w:tcPr>
          <w:p>
            <w:r/>
            <w:r>
              <w:rPr>
                <w:b w:val="0"/>
                <w:sz w:val="18"/>
              </w:rPr>
              <w:t>Surface linker</w:t>
            </w:r>
          </w:p>
        </w:tc>
        <w:tc>
          <w:tcPr>
            <w:tcW w:type="dxa" w:w="1278"/>
            <w:vAlign w:val="top"/>
          </w:tcPr>
          <w:p>
            <w:r/>
            <w:r>
              <w:rPr>
                <w:b w:val="0"/>
                <w:sz w:val="18"/>
              </w:rPr>
              <w:t>400</w:t>
            </w:r>
          </w:p>
        </w:tc>
        <w:tc>
          <w:tcPr>
            <w:tcW w:type="dxa" w:w="1278"/>
            <w:vAlign w:val="top"/>
          </w:tcPr>
          <w:p>
            <w:r/>
            <w:r>
              <w:rPr>
                <w:b w:val="0"/>
                <w:sz w:val="18"/>
              </w:rPr>
              <w:t>120 min</w:t>
            </w:r>
          </w:p>
        </w:tc>
        <w:tc>
          <w:tcPr>
            <w:tcW w:type="dxa" w:w="1278"/>
            <w:vAlign w:val="top"/>
          </w:tcPr>
          <w:p>
            <w:r/>
            <w:r>
              <w:rPr>
                <w:b w:val="0"/>
                <w:sz w:val="18"/>
              </w:rPr>
              <w:t>Stable dark dispersion</w:t>
            </w:r>
          </w:p>
        </w:tc>
        <w:tc>
          <w:tcPr>
            <w:tcW w:type="dxa" w:w="1278"/>
            <w:vAlign w:val="top"/>
          </w:tcPr>
          <w:p>
            <w:r/>
            <w:r>
              <w:rPr>
                <w:b w:val="0"/>
                <w:sz w:val="18"/>
              </w:rPr>
              <w:t>DLS, zeta, uptake model</w:t>
            </w:r>
          </w:p>
        </w:tc>
      </w:tr>
      <w:tr>
        <w:tc>
          <w:tcPr>
            <w:tcW w:type="dxa" w:w="1278"/>
            <w:vAlign w:val="top"/>
          </w:tcPr>
          <w:p>
            <w:r/>
            <w:r>
              <w:rPr>
                <w:b w:val="0"/>
                <w:sz w:val="18"/>
              </w:rPr>
              <w:t>FA-NP-04</w:t>
            </w:r>
          </w:p>
        </w:tc>
        <w:tc>
          <w:tcPr>
            <w:tcW w:type="dxa" w:w="1278"/>
            <w:vAlign w:val="top"/>
          </w:tcPr>
          <w:p>
            <w:r/>
            <w:r>
              <w:rPr>
                <w:b w:val="0"/>
                <w:sz w:val="18"/>
              </w:rPr>
              <w:t>Gold/Silver NP</w:t>
            </w:r>
          </w:p>
        </w:tc>
        <w:tc>
          <w:tcPr>
            <w:tcW w:type="dxa" w:w="1278"/>
            <w:vAlign w:val="top"/>
          </w:tcPr>
          <w:p>
            <w:r/>
            <w:r>
              <w:rPr>
                <w:b w:val="0"/>
                <w:sz w:val="18"/>
              </w:rPr>
              <w:t>Medium</w:t>
            </w:r>
          </w:p>
        </w:tc>
        <w:tc>
          <w:tcPr>
            <w:tcW w:type="dxa" w:w="1278"/>
            <w:vAlign w:val="top"/>
          </w:tcPr>
          <w:p>
            <w:r/>
            <w:r>
              <w:rPr>
                <w:b w:val="0"/>
                <w:sz w:val="18"/>
              </w:rPr>
              <w:t>Adsorption model</w:t>
            </w:r>
          </w:p>
        </w:tc>
        <w:tc>
          <w:tcPr>
            <w:tcW w:type="dxa" w:w="1278"/>
            <w:vAlign w:val="top"/>
          </w:tcPr>
          <w:p>
            <w:r/>
            <w:r>
              <w:rPr>
                <w:b w:val="0"/>
                <w:sz w:val="18"/>
              </w:rPr>
              <w:t>300</w:t>
            </w:r>
          </w:p>
        </w:tc>
        <w:tc>
          <w:tcPr>
            <w:tcW w:type="dxa" w:w="1278"/>
            <w:vAlign w:val="top"/>
          </w:tcPr>
          <w:p>
            <w:r/>
            <w:r>
              <w:rPr>
                <w:b w:val="0"/>
                <w:sz w:val="18"/>
              </w:rPr>
              <w:t>90 min</w:t>
            </w:r>
          </w:p>
        </w:tc>
        <w:tc>
          <w:tcPr>
            <w:tcW w:type="dxa" w:w="1278"/>
            <w:vAlign w:val="top"/>
          </w:tcPr>
          <w:p>
            <w:r/>
            <w:r>
              <w:rPr>
                <w:b w:val="0"/>
                <w:sz w:val="18"/>
              </w:rPr>
              <w:t>No visible sediment</w:t>
            </w:r>
          </w:p>
        </w:tc>
        <w:tc>
          <w:tcPr>
            <w:tcW w:type="dxa" w:w="1278"/>
            <w:vAlign w:val="top"/>
          </w:tcPr>
          <w:p>
            <w:r/>
            <w:r>
              <w:rPr>
                <w:b w:val="0"/>
                <w:sz w:val="18"/>
              </w:rPr>
              <w:t>UV-Vis, stability</w:t>
            </w:r>
          </w:p>
        </w:tc>
      </w:tr>
    </w:tbl>
    <w:p>
      <w:pPr>
        <w:spacing w:after="120" w:line="259" w:lineRule="auto"/>
      </w:pPr>
    </w:p>
    <w:p>
      <w:pPr>
        <w:pStyle w:val="Heading1"/>
        <w:spacing w:after="120" w:line="259" w:lineRule="auto"/>
      </w:pPr>
      <w:r>
        <w:t>20. Suggested Supporting Information Summary</w:t>
      </w:r>
    </w:p>
    <w:p>
      <w:pPr>
        <w:spacing w:after="120" w:line="259" w:lineRule="auto"/>
      </w:pPr>
      <w:r>
        <w:t>This protocol demonstrates a folic acid-conjugated nanoparticle preparation workflow as a cancer cell targeting model. The NSL-supported part includes reagent dispensing, controlled stirring, waiting, mild heating where appropriate, optional sonication, illumination, camera documentation, exhaust support, and environment recording. These steps help structure and standardize the early surface-functionalization stage.</w:t>
      </w:r>
    </w:p>
    <w:p>
      <w:pPr>
        <w:spacing w:after="120" w:line="259" w:lineRule="auto"/>
      </w:pPr>
      <w:r>
        <w:t>The protocol should be interpreted as a research and educational model only. Folic acid attachment, colloidal stability, receptor-mediated uptake, biological selectivity, safety, and therapeutic relevance must be validated externally. When presented in a webinar, the protocol is best explained as an example of how Protoly can organize targeted nanomaterial preparation while clearly separating automation-supported preparation from offline analytical and biological validation.</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95959"/>
        <w:sz w:val="16"/>
      </w:rPr>
      <w:t>Supporting Information Document for Protoly / NSL Workflow</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595959"/>
        <w:sz w:val="18"/>
      </w:rPr>
      <w:t>Protocol 11 Details | Folic Acid-Conjugated Nanoparticle Preparation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E75B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