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36"/>
        </w:rPr>
        <w:t>Supporting Information Document</w:t>
      </w:r>
    </w:p>
    <w:p>
      <w:pPr>
        <w:jc w:val="center"/>
      </w:pPr>
      <w:r>
        <w:rPr>
          <w:rFonts w:ascii="Arial" w:hAnsi="Arial"/>
          <w:b/>
          <w:color w:val="2E75B6"/>
          <w:sz w:val="27"/>
        </w:rPr>
        <w:t>Protocol 12: Automated Silver Nanoparticle-Antibody Conjugate Preparation for Immunoassay Probe Development</w:t>
      </w:r>
    </w:p>
    <w:p>
      <w:pPr>
        <w:jc w:val="center"/>
      </w:pPr>
      <w:r>
        <w:rPr>
          <w:rFonts w:ascii="Arial" w:hAnsi="Arial"/>
          <w:i/>
          <w:sz w:val="22"/>
        </w:rPr>
        <w:t>Deeper Context, Scientific Intent, Automation Logic, and Webinar Explanation</w:t>
      </w:r>
    </w:p>
    <w:p>
      <w:pPr>
        <w:pStyle w:val="Heading1"/>
        <w:spacing w:before="160" w:after="80"/>
      </w:pPr>
      <w:r>
        <w:t>1. Support Status on Protoly / NSL</w:t>
      </w:r>
    </w:p>
    <w:p>
      <w:pPr>
        <w:spacing w:after="120" w:line="252" w:lineRule="auto"/>
      </w:pPr>
      <w:r>
        <w:rPr>
          <w:rFonts w:ascii="Arial" w:hAnsi="Arial"/>
          <w:b w:val="0"/>
          <w:i w:val="0"/>
          <w:sz w:val="20"/>
        </w:rPr>
        <w:t>This protocol is partially NSL-supported. The NSL platform can assist with controlled liquid addition, gentle stirring, timed incubation, waiting periods, mild thermal conditioning where compatible, UV sterilization, exhaust operation, chamber illumination, camera-based visual documentation, sonication support where required, and ambient chamber environment recording.</w:t>
      </w:r>
    </w:p>
    <w:p>
      <w:pPr>
        <w:spacing w:after="120" w:line="252" w:lineRule="auto"/>
      </w:pPr>
      <w:r>
        <w:rPr>
          <w:rFonts w:ascii="Arial" w:hAnsi="Arial"/>
          <w:b w:val="0"/>
          <w:i w:val="0"/>
          <w:sz w:val="20"/>
        </w:rPr>
        <w:t>The protocol should be presented as a research-scale immunoassay probe preparation workflow, not as a validated diagnostic reagent manufacturing process. NSL can support the preparation sequence, while antibody quality assessment, conjugation confirmation, purification, antigen-binding validation, assay sensitivity, specificity, shelf-life testing, sterility testing, and regulatory validation remain offline or external studies.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NSL-supported action</w:t>
            </w:r>
          </w:p>
        </w:tc>
        <w:tc>
          <w:tcPr>
            <w:tcW w:type="dxa" w:w="5112"/>
            <w:shd w:fill="D9EAF7"/>
            <w:vAlign w:val="center"/>
          </w:tcPr>
          <w:p>
            <w:pPr>
              <w:spacing w:after="0"/>
            </w:pPr>
            <w:r/>
            <w:r>
              <w:rPr>
                <w:rFonts w:ascii="Arial" w:hAnsi="Arial"/>
                <w:b/>
                <w:sz w:val="17"/>
              </w:rPr>
              <w:t>Purpose in this protocol</w:t>
            </w:r>
          </w:p>
        </w:tc>
      </w:tr>
      <w:tr>
        <w:tc>
          <w:tcPr>
            <w:tcW w:type="dxa" w:w="5112"/>
            <w:vAlign w:val="top"/>
          </w:tcPr>
          <w:p>
            <w:pPr>
              <w:spacing w:after="0"/>
            </w:pPr>
            <w:r/>
            <w:r>
              <w:rPr>
                <w:rFonts w:ascii="Arial" w:hAnsi="Arial"/>
                <w:b w:val="0"/>
                <w:sz w:val="17"/>
              </w:rPr>
              <w:t>Reservoir Dispense</w:t>
            </w:r>
          </w:p>
        </w:tc>
        <w:tc>
          <w:tcPr>
            <w:tcW w:type="dxa" w:w="5112"/>
            <w:vAlign w:val="top"/>
          </w:tcPr>
          <w:p>
            <w:pPr>
              <w:spacing w:after="0"/>
            </w:pPr>
            <w:r/>
            <w:r>
              <w:rPr>
                <w:rFonts w:ascii="Arial" w:hAnsi="Arial"/>
                <w:b w:val="0"/>
                <w:sz w:val="17"/>
              </w:rPr>
              <w:t>Addition of silver nanoparticle dispersion, antibody solution, buffer, blocking reagent, stabilizer, or storage medium.</w:t>
            </w:r>
          </w:p>
        </w:tc>
      </w:tr>
      <w:tr>
        <w:tc>
          <w:tcPr>
            <w:tcW w:type="dxa" w:w="5112"/>
            <w:vAlign w:val="top"/>
          </w:tcPr>
          <w:p>
            <w:pPr>
              <w:spacing w:after="0"/>
            </w:pPr>
            <w:r/>
            <w:r>
              <w:rPr>
                <w:rFonts w:ascii="Arial" w:hAnsi="Arial"/>
                <w:b w:val="0"/>
                <w:sz w:val="17"/>
              </w:rPr>
              <w:t>Stirrer</w:t>
            </w:r>
          </w:p>
        </w:tc>
        <w:tc>
          <w:tcPr>
            <w:tcW w:type="dxa" w:w="5112"/>
            <w:vAlign w:val="top"/>
          </w:tcPr>
          <w:p>
            <w:pPr>
              <w:spacing w:after="0"/>
            </w:pPr>
            <w:r/>
            <w:r>
              <w:rPr>
                <w:rFonts w:ascii="Arial" w:hAnsi="Arial"/>
                <w:b w:val="0"/>
                <w:sz w:val="17"/>
              </w:rPr>
              <w:t>Gentle mixing during conditioning, antibody addition, incubation, blocking, and stabilization.</w:t>
            </w:r>
          </w:p>
        </w:tc>
      </w:tr>
      <w:tr>
        <w:tc>
          <w:tcPr>
            <w:tcW w:type="dxa" w:w="5112"/>
            <w:vAlign w:val="top"/>
          </w:tcPr>
          <w:p>
            <w:pPr>
              <w:spacing w:after="0"/>
            </w:pPr>
            <w:r/>
            <w:r>
              <w:rPr>
                <w:rFonts w:ascii="Arial" w:hAnsi="Arial"/>
                <w:b w:val="0"/>
                <w:sz w:val="17"/>
              </w:rPr>
              <w:t>Wait</w:t>
            </w:r>
          </w:p>
        </w:tc>
        <w:tc>
          <w:tcPr>
            <w:tcW w:type="dxa" w:w="5112"/>
            <w:vAlign w:val="top"/>
          </w:tcPr>
          <w:p>
            <w:pPr>
              <w:spacing w:after="0"/>
            </w:pPr>
            <w:r/>
            <w:r>
              <w:rPr>
                <w:rFonts w:ascii="Arial" w:hAnsi="Arial"/>
                <w:b w:val="0"/>
                <w:sz w:val="17"/>
              </w:rPr>
              <w:t>Defined incubation and stabilization periods after antibody addition and blocking.</w:t>
            </w:r>
          </w:p>
        </w:tc>
      </w:tr>
      <w:tr>
        <w:tc>
          <w:tcPr>
            <w:tcW w:type="dxa" w:w="5112"/>
            <w:vAlign w:val="top"/>
          </w:tcPr>
          <w:p>
            <w:pPr>
              <w:spacing w:after="0"/>
            </w:pPr>
            <w:r/>
            <w:r>
              <w:rPr>
                <w:rFonts w:ascii="Arial" w:hAnsi="Arial"/>
                <w:b w:val="0"/>
                <w:sz w:val="17"/>
              </w:rPr>
              <w:t>Heater</w:t>
            </w:r>
          </w:p>
        </w:tc>
        <w:tc>
          <w:tcPr>
            <w:tcW w:type="dxa" w:w="5112"/>
            <w:vAlign w:val="top"/>
          </w:tcPr>
          <w:p>
            <w:pPr>
              <w:spacing w:after="0"/>
            </w:pPr>
            <w:r/>
            <w:r>
              <w:rPr>
                <w:rFonts w:ascii="Arial" w:hAnsi="Arial"/>
                <w:b w:val="0"/>
                <w:sz w:val="17"/>
              </w:rPr>
              <w:t>Optional mild temperature support only where compatible with antibody stability.</w:t>
            </w:r>
          </w:p>
        </w:tc>
      </w:tr>
      <w:tr>
        <w:tc>
          <w:tcPr>
            <w:tcW w:type="dxa" w:w="5112"/>
            <w:vAlign w:val="top"/>
          </w:tcPr>
          <w:p>
            <w:pPr>
              <w:spacing w:after="0"/>
            </w:pPr>
            <w:r/>
            <w:r>
              <w:rPr>
                <w:rFonts w:ascii="Arial" w:hAnsi="Arial"/>
                <w:b w:val="0"/>
                <w:sz w:val="17"/>
              </w:rPr>
              <w:t>Sterilization UV</w:t>
            </w:r>
          </w:p>
        </w:tc>
        <w:tc>
          <w:tcPr>
            <w:tcW w:type="dxa" w:w="5112"/>
            <w:vAlign w:val="top"/>
          </w:tcPr>
          <w:p>
            <w:pPr>
              <w:spacing w:after="0"/>
            </w:pPr>
            <w:r/>
            <w:r>
              <w:rPr>
                <w:rFonts w:ascii="Arial" w:hAnsi="Arial"/>
                <w:b w:val="0"/>
                <w:sz w:val="17"/>
              </w:rPr>
              <w:t>Pre-process chamber preparation for clean research-scale handling.</w:t>
            </w:r>
          </w:p>
        </w:tc>
      </w:tr>
      <w:tr>
        <w:tc>
          <w:tcPr>
            <w:tcW w:type="dxa" w:w="5112"/>
            <w:vAlign w:val="top"/>
          </w:tcPr>
          <w:p>
            <w:pPr>
              <w:spacing w:after="0"/>
            </w:pPr>
            <w:r/>
            <w:r>
              <w:rPr>
                <w:rFonts w:ascii="Arial" w:hAnsi="Arial"/>
                <w:b w:val="0"/>
                <w:sz w:val="17"/>
              </w:rPr>
              <w:t>LED / UV / IR Illumination</w:t>
            </w:r>
          </w:p>
        </w:tc>
        <w:tc>
          <w:tcPr>
            <w:tcW w:type="dxa" w:w="5112"/>
            <w:vAlign w:val="top"/>
          </w:tcPr>
          <w:p>
            <w:pPr>
              <w:spacing w:after="0"/>
            </w:pPr>
            <w:r/>
            <w:r>
              <w:rPr>
                <w:rFonts w:ascii="Arial" w:hAnsi="Arial"/>
                <w:b w:val="0"/>
                <w:sz w:val="17"/>
              </w:rPr>
              <w:t>Illumination support for chamber visibility and camera recording, not quantitative spectroscopic analysis.</w:t>
            </w:r>
          </w:p>
        </w:tc>
      </w:tr>
      <w:tr>
        <w:tc>
          <w:tcPr>
            <w:tcW w:type="dxa" w:w="5112"/>
            <w:vAlign w:val="top"/>
          </w:tcPr>
          <w:p>
            <w:pPr>
              <w:spacing w:after="0"/>
            </w:pPr>
            <w:r/>
            <w:r>
              <w:rPr>
                <w:rFonts w:ascii="Arial" w:hAnsi="Arial"/>
                <w:b w:val="0"/>
                <w:sz w:val="17"/>
              </w:rPr>
              <w:t>Camera</w:t>
            </w:r>
          </w:p>
        </w:tc>
        <w:tc>
          <w:tcPr>
            <w:tcW w:type="dxa" w:w="5112"/>
            <w:vAlign w:val="top"/>
          </w:tcPr>
          <w:p>
            <w:pPr>
              <w:spacing w:after="0"/>
            </w:pPr>
            <w:r/>
            <w:r>
              <w:rPr>
                <w:rFonts w:ascii="Arial" w:hAnsi="Arial"/>
                <w:b w:val="0"/>
                <w:sz w:val="17"/>
              </w:rPr>
              <w:t>Visual documentation of colloidal color, sedimentation, visible aggregation, and dispersion condition.</w:t>
            </w:r>
          </w:p>
        </w:tc>
      </w:tr>
      <w:tr>
        <w:tc>
          <w:tcPr>
            <w:tcW w:type="dxa" w:w="5112"/>
            <w:vAlign w:val="top"/>
          </w:tcPr>
          <w:p>
            <w:pPr>
              <w:spacing w:after="0"/>
            </w:pPr>
            <w:r/>
            <w:r>
              <w:rPr>
                <w:rFonts w:ascii="Arial" w:hAnsi="Arial"/>
                <w:b w:val="0"/>
                <w:sz w:val="17"/>
              </w:rPr>
              <w:t>Sonicator / Sonicator Bath Heater</w:t>
            </w:r>
          </w:p>
        </w:tc>
        <w:tc>
          <w:tcPr>
            <w:tcW w:type="dxa" w:w="5112"/>
            <w:vAlign w:val="top"/>
          </w:tcPr>
          <w:p>
            <w:pPr>
              <w:spacing w:after="0"/>
            </w:pPr>
            <w:r/>
            <w:r>
              <w:rPr>
                <w:rFonts w:ascii="Arial" w:hAnsi="Arial"/>
                <w:b w:val="0"/>
                <w:sz w:val="17"/>
              </w:rPr>
              <w:t>Optional mild dispersion support before or after conjugation, used cautiously to avoid antibody damage.</w:t>
            </w:r>
          </w:p>
        </w:tc>
      </w:tr>
      <w:tr>
        <w:tc>
          <w:tcPr>
            <w:tcW w:type="dxa" w:w="5112"/>
            <w:vAlign w:val="top"/>
          </w:tcPr>
          <w:p>
            <w:pPr>
              <w:spacing w:after="0"/>
            </w:pPr>
            <w:r/>
            <w:r>
              <w:rPr>
                <w:rFonts w:ascii="Arial" w:hAnsi="Arial"/>
                <w:b w:val="0"/>
                <w:sz w:val="17"/>
              </w:rPr>
              <w:t>Exhaust and Environment Sensors</w:t>
            </w:r>
          </w:p>
        </w:tc>
        <w:tc>
          <w:tcPr>
            <w:tcW w:type="dxa" w:w="5112"/>
            <w:vAlign w:val="top"/>
          </w:tcPr>
          <w:p>
            <w:pPr>
              <w:spacing w:after="0"/>
            </w:pPr>
            <w:r/>
            <w:r>
              <w:rPr>
                <w:rFonts w:ascii="Arial" w:hAnsi="Arial"/>
                <w:b w:val="0"/>
                <w:sz w:val="17"/>
              </w:rPr>
              <w:t>Airflow support and ambient chamber condition recording.</w:t>
            </w:r>
          </w:p>
        </w:tc>
      </w:tr>
    </w:tbl>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Offline / external activity</w:t>
            </w:r>
          </w:p>
        </w:tc>
        <w:tc>
          <w:tcPr>
            <w:tcW w:type="dxa" w:w="5112"/>
            <w:shd w:fill="D9EAF7"/>
            <w:vAlign w:val="center"/>
          </w:tcPr>
          <w:p>
            <w:pPr>
              <w:spacing w:after="0"/>
            </w:pPr>
            <w:r/>
            <w:r>
              <w:rPr>
                <w:rFonts w:ascii="Arial" w:hAnsi="Arial"/>
                <w:b/>
                <w:sz w:val="17"/>
              </w:rPr>
              <w:t>Reason it remains external</w:t>
            </w:r>
          </w:p>
        </w:tc>
      </w:tr>
      <w:tr>
        <w:tc>
          <w:tcPr>
            <w:tcW w:type="dxa" w:w="5112"/>
            <w:vAlign w:val="top"/>
          </w:tcPr>
          <w:p>
            <w:pPr>
              <w:spacing w:after="0"/>
            </w:pPr>
            <w:r/>
            <w:r>
              <w:rPr>
                <w:rFonts w:ascii="Arial" w:hAnsi="Arial"/>
                <w:b w:val="0"/>
                <w:sz w:val="17"/>
              </w:rPr>
              <w:t>Antibody concentration and quality check</w:t>
            </w:r>
          </w:p>
        </w:tc>
        <w:tc>
          <w:tcPr>
            <w:tcW w:type="dxa" w:w="5112"/>
            <w:vAlign w:val="top"/>
          </w:tcPr>
          <w:p>
            <w:pPr>
              <w:spacing w:after="0"/>
            </w:pPr>
            <w:r/>
            <w:r>
              <w:rPr>
                <w:rFonts w:ascii="Arial" w:hAnsi="Arial"/>
                <w:b w:val="0"/>
                <w:sz w:val="17"/>
              </w:rPr>
              <w:t>Requires protein assay, SDS-PAGE, or supplier certificate review.</w:t>
            </w:r>
          </w:p>
        </w:tc>
      </w:tr>
      <w:tr>
        <w:tc>
          <w:tcPr>
            <w:tcW w:type="dxa" w:w="5112"/>
            <w:vAlign w:val="top"/>
          </w:tcPr>
          <w:p>
            <w:pPr>
              <w:spacing w:after="0"/>
            </w:pPr>
            <w:r/>
            <w:r>
              <w:rPr>
                <w:rFonts w:ascii="Arial" w:hAnsi="Arial"/>
                <w:b w:val="0"/>
                <w:sz w:val="17"/>
              </w:rPr>
              <w:t>pH and buffer verification</w:t>
            </w:r>
          </w:p>
        </w:tc>
        <w:tc>
          <w:tcPr>
            <w:tcW w:type="dxa" w:w="5112"/>
            <w:vAlign w:val="top"/>
          </w:tcPr>
          <w:p>
            <w:pPr>
              <w:spacing w:after="0"/>
            </w:pPr>
            <w:r/>
            <w:r>
              <w:rPr>
                <w:rFonts w:ascii="Arial" w:hAnsi="Arial"/>
                <w:b w:val="0"/>
                <w:sz w:val="17"/>
              </w:rPr>
              <w:t>Accurate pH measurement and buffer validation are offline/manual.</w:t>
            </w:r>
          </w:p>
        </w:tc>
      </w:tr>
      <w:tr>
        <w:tc>
          <w:tcPr>
            <w:tcW w:type="dxa" w:w="5112"/>
            <w:vAlign w:val="top"/>
          </w:tcPr>
          <w:p>
            <w:pPr>
              <w:spacing w:after="0"/>
            </w:pPr>
            <w:r/>
            <w:r>
              <w:rPr>
                <w:rFonts w:ascii="Arial" w:hAnsi="Arial"/>
                <w:b w:val="0"/>
                <w:sz w:val="17"/>
              </w:rPr>
              <w:t>Centrifugation, dialysis, or filtration</w:t>
            </w:r>
          </w:p>
        </w:tc>
        <w:tc>
          <w:tcPr>
            <w:tcW w:type="dxa" w:w="5112"/>
            <w:vAlign w:val="top"/>
          </w:tcPr>
          <w:p>
            <w:pPr>
              <w:spacing w:after="0"/>
            </w:pPr>
            <w:r/>
            <w:r>
              <w:rPr>
                <w:rFonts w:ascii="Arial" w:hAnsi="Arial"/>
                <w:b w:val="0"/>
                <w:sz w:val="17"/>
              </w:rPr>
              <w:t>Needed for purification but not an NSL step builder module.</w:t>
            </w:r>
          </w:p>
        </w:tc>
      </w:tr>
      <w:tr>
        <w:tc>
          <w:tcPr>
            <w:tcW w:type="dxa" w:w="5112"/>
            <w:vAlign w:val="top"/>
          </w:tcPr>
          <w:p>
            <w:pPr>
              <w:spacing w:after="0"/>
            </w:pPr>
            <w:r/>
            <w:r>
              <w:rPr>
                <w:rFonts w:ascii="Arial" w:hAnsi="Arial"/>
                <w:b w:val="0"/>
                <w:sz w:val="17"/>
              </w:rPr>
              <w:t>UV-Vis, DLS, zeta potential, fluorescence, FTIR</w:t>
            </w:r>
          </w:p>
        </w:tc>
        <w:tc>
          <w:tcPr>
            <w:tcW w:type="dxa" w:w="5112"/>
            <w:vAlign w:val="top"/>
          </w:tcPr>
          <w:p>
            <w:pPr>
              <w:spacing w:after="0"/>
            </w:pPr>
            <w:r/>
            <w:r>
              <w:rPr>
                <w:rFonts w:ascii="Arial" w:hAnsi="Arial"/>
                <w:b w:val="0"/>
                <w:sz w:val="17"/>
              </w:rPr>
              <w:t>Analytical confirmation requires external instruments.</w:t>
            </w:r>
          </w:p>
        </w:tc>
      </w:tr>
      <w:tr>
        <w:tc>
          <w:tcPr>
            <w:tcW w:type="dxa" w:w="5112"/>
            <w:vAlign w:val="top"/>
          </w:tcPr>
          <w:p>
            <w:pPr>
              <w:spacing w:after="0"/>
            </w:pPr>
            <w:r/>
            <w:r>
              <w:rPr>
                <w:rFonts w:ascii="Arial" w:hAnsi="Arial"/>
                <w:b w:val="0"/>
                <w:sz w:val="17"/>
              </w:rPr>
              <w:t>Antigen-binding validation</w:t>
            </w:r>
          </w:p>
        </w:tc>
        <w:tc>
          <w:tcPr>
            <w:tcW w:type="dxa" w:w="5112"/>
            <w:vAlign w:val="top"/>
          </w:tcPr>
          <w:p>
            <w:pPr>
              <w:spacing w:after="0"/>
            </w:pPr>
            <w:r/>
            <w:r>
              <w:rPr>
                <w:rFonts w:ascii="Arial" w:hAnsi="Arial"/>
                <w:b w:val="0"/>
                <w:sz w:val="17"/>
              </w:rPr>
              <w:t>Requires dot blot, ELISA-type test, lateral-flow model, or other immunoassay format.</w:t>
            </w:r>
          </w:p>
        </w:tc>
      </w:tr>
      <w:tr>
        <w:tc>
          <w:tcPr>
            <w:tcW w:type="dxa" w:w="5112"/>
            <w:vAlign w:val="top"/>
          </w:tcPr>
          <w:p>
            <w:pPr>
              <w:spacing w:after="0"/>
            </w:pPr>
            <w:r/>
            <w:r>
              <w:rPr>
                <w:rFonts w:ascii="Arial" w:hAnsi="Arial"/>
                <w:b w:val="0"/>
                <w:sz w:val="17"/>
              </w:rPr>
              <w:t>Diagnostic performance testing</w:t>
            </w:r>
          </w:p>
        </w:tc>
        <w:tc>
          <w:tcPr>
            <w:tcW w:type="dxa" w:w="5112"/>
            <w:vAlign w:val="top"/>
          </w:tcPr>
          <w:p>
            <w:pPr>
              <w:spacing w:after="0"/>
            </w:pPr>
            <w:r/>
            <w:r>
              <w:rPr>
                <w:rFonts w:ascii="Arial" w:hAnsi="Arial"/>
                <w:b w:val="0"/>
                <w:sz w:val="17"/>
              </w:rPr>
              <w:t>Sensitivity, specificity, limit of detection, and matrix interference require validated assay studies.</w:t>
            </w:r>
          </w:p>
        </w:tc>
      </w:tr>
    </w:tbl>
    <w:p/>
    <w:p>
      <w:pPr>
        <w:pStyle w:val="Heading1"/>
        <w:spacing w:before="160" w:after="80"/>
      </w:pPr>
      <w:r>
        <w:t>2. Purpose of This Supporting Information</w:t>
      </w:r>
    </w:p>
    <w:p>
      <w:pPr>
        <w:spacing w:after="120" w:line="252" w:lineRule="auto"/>
      </w:pPr>
      <w:r>
        <w:rPr>
          <w:rFonts w:ascii="Arial" w:hAnsi="Arial"/>
          <w:b w:val="0"/>
          <w:i w:val="0"/>
          <w:sz w:val="20"/>
        </w:rPr>
        <w:t>The main Protoly protocol contains the fillable operational fields. This supporting information document explains the deeper scientific intent, immunoassay context, surface-conjugation logic, automation value, interpretation strategy, limitations, and future development possibilities of the silver nanoparticle-antibody conjugate workflow.</w:t>
      </w:r>
    </w:p>
    <w:p>
      <w:pPr>
        <w:spacing w:after="120" w:line="252" w:lineRule="auto"/>
      </w:pPr>
      <w:r>
        <w:rPr>
          <w:rFonts w:ascii="Arial" w:hAnsi="Arial"/>
          <w:b w:val="0"/>
          <w:i w:val="0"/>
          <w:sz w:val="20"/>
        </w:rPr>
        <w:t>The purpose is to help readers understand why AgNP-antibody conjugates are useful, how the workflow fits into immunoassay probe development, which parts can be supported by NSL, and which parts must be verified externally. This document can be uploaded as supporting information so that the protocol does not appear as a simple mixing method only.</w:t>
      </w:r>
    </w:p>
    <w:p>
      <w:pPr>
        <w:pStyle w:val="Heading1"/>
        <w:spacing w:before="160" w:after="80"/>
      </w:pPr>
      <w:r>
        <w:t>3. Overall Concept of the Protocol</w:t>
      </w:r>
    </w:p>
    <w:p>
      <w:pPr>
        <w:spacing w:after="120" w:line="252" w:lineRule="auto"/>
      </w:pPr>
      <w:r>
        <w:rPr>
          <w:rFonts w:ascii="Arial" w:hAnsi="Arial"/>
          <w:b w:val="0"/>
          <w:i w:val="0"/>
          <w:sz w:val="20"/>
        </w:rPr>
        <w:t>The central concept is to prepare a nanoparticle-bioconjugate probe in which antibodies provide molecular recognition and silver nanoparticles provide a nanomaterial signal or visible label platform. The workflow demonstrates the early preparation stage of an immunoassay probe, where a stable AgNP dispersion is combined with a selected antibody under controlled mixing, incubation, and stabilization conditions.</w:t>
      </w:r>
    </w:p>
    <w:p>
      <w:pPr>
        <w:spacing w:after="120" w:line="252" w:lineRule="auto"/>
      </w:pPr>
      <w:r>
        <w:rPr>
          <w:rFonts w:ascii="Arial" w:hAnsi="Arial"/>
          <w:b w:val="0"/>
          <w:i w:val="0"/>
          <w:sz w:val="20"/>
        </w:rPr>
        <w:t>The protocol does not claim that the prepared conjugate is automatically suitable for diagnosis. Instead, it creates a structured research prototype that may later be tested in antigen-recognition studies, dot blot experiments, lateral-flow models, colorimetric detection systems, or other immunoassay formats.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Workflow stage</w:t>
            </w:r>
          </w:p>
        </w:tc>
        <w:tc>
          <w:tcPr>
            <w:tcW w:type="dxa" w:w="5112"/>
            <w:shd w:fill="D9EAF7"/>
            <w:vAlign w:val="center"/>
          </w:tcPr>
          <w:p>
            <w:pPr>
              <w:spacing w:after="0"/>
            </w:pPr>
            <w:r/>
            <w:r>
              <w:rPr>
                <w:rFonts w:ascii="Arial" w:hAnsi="Arial"/>
                <w:b/>
                <w:sz w:val="17"/>
              </w:rPr>
              <w:t>Conceptual meaning</w:t>
            </w:r>
          </w:p>
        </w:tc>
      </w:tr>
      <w:tr>
        <w:tc>
          <w:tcPr>
            <w:tcW w:type="dxa" w:w="5112"/>
            <w:vAlign w:val="top"/>
          </w:tcPr>
          <w:p>
            <w:pPr>
              <w:spacing w:after="0"/>
            </w:pPr>
            <w:r/>
            <w:r>
              <w:rPr>
                <w:rFonts w:ascii="Arial" w:hAnsi="Arial"/>
                <w:b w:val="0"/>
                <w:sz w:val="17"/>
              </w:rPr>
              <w:t>AgNP dispersion preparation or loading</w:t>
            </w:r>
          </w:p>
        </w:tc>
        <w:tc>
          <w:tcPr>
            <w:tcW w:type="dxa" w:w="5112"/>
            <w:vAlign w:val="top"/>
          </w:tcPr>
          <w:p>
            <w:pPr>
              <w:spacing w:after="0"/>
            </w:pPr>
            <w:r/>
            <w:r>
              <w:rPr>
                <w:rFonts w:ascii="Arial" w:hAnsi="Arial"/>
                <w:b w:val="0"/>
                <w:sz w:val="17"/>
              </w:rPr>
              <w:t>Provides the nanomaterial platform for the probe.</w:t>
            </w:r>
          </w:p>
        </w:tc>
      </w:tr>
      <w:tr>
        <w:tc>
          <w:tcPr>
            <w:tcW w:type="dxa" w:w="5112"/>
            <w:vAlign w:val="top"/>
          </w:tcPr>
          <w:p>
            <w:pPr>
              <w:spacing w:after="0"/>
            </w:pPr>
            <w:r/>
            <w:r>
              <w:rPr>
                <w:rFonts w:ascii="Arial" w:hAnsi="Arial"/>
                <w:b w:val="0"/>
                <w:sz w:val="17"/>
              </w:rPr>
              <w:t>Buffer conditioning</w:t>
            </w:r>
          </w:p>
        </w:tc>
        <w:tc>
          <w:tcPr>
            <w:tcW w:type="dxa" w:w="5112"/>
            <w:vAlign w:val="top"/>
          </w:tcPr>
          <w:p>
            <w:pPr>
              <w:spacing w:after="0"/>
            </w:pPr>
            <w:r/>
            <w:r>
              <w:rPr>
                <w:rFonts w:ascii="Arial" w:hAnsi="Arial"/>
                <w:b w:val="0"/>
                <w:sz w:val="17"/>
              </w:rPr>
              <w:t>Creates a suitable environment for antibody addition and colloidal stability.</w:t>
            </w:r>
          </w:p>
        </w:tc>
      </w:tr>
      <w:tr>
        <w:tc>
          <w:tcPr>
            <w:tcW w:type="dxa" w:w="5112"/>
            <w:vAlign w:val="top"/>
          </w:tcPr>
          <w:p>
            <w:pPr>
              <w:spacing w:after="0"/>
            </w:pPr>
            <w:r/>
            <w:r>
              <w:rPr>
                <w:rFonts w:ascii="Arial" w:hAnsi="Arial"/>
                <w:b w:val="0"/>
                <w:sz w:val="17"/>
              </w:rPr>
              <w:t>Antibody addition</w:t>
            </w:r>
          </w:p>
        </w:tc>
        <w:tc>
          <w:tcPr>
            <w:tcW w:type="dxa" w:w="5112"/>
            <w:vAlign w:val="top"/>
          </w:tcPr>
          <w:p>
            <w:pPr>
              <w:spacing w:after="0"/>
            </w:pPr>
            <w:r/>
            <w:r>
              <w:rPr>
                <w:rFonts w:ascii="Arial" w:hAnsi="Arial"/>
                <w:b w:val="0"/>
                <w:sz w:val="17"/>
              </w:rPr>
              <w:t>Introduces molecular recognition capability.</w:t>
            </w:r>
          </w:p>
        </w:tc>
      </w:tr>
      <w:tr>
        <w:tc>
          <w:tcPr>
            <w:tcW w:type="dxa" w:w="5112"/>
            <w:vAlign w:val="top"/>
          </w:tcPr>
          <w:p>
            <w:pPr>
              <w:spacing w:after="0"/>
            </w:pPr>
            <w:r/>
            <w:r>
              <w:rPr>
                <w:rFonts w:ascii="Arial" w:hAnsi="Arial"/>
                <w:b w:val="0"/>
                <w:sz w:val="17"/>
              </w:rPr>
              <w:t>Incubation under gentle mixing</w:t>
            </w:r>
          </w:p>
        </w:tc>
        <w:tc>
          <w:tcPr>
            <w:tcW w:type="dxa" w:w="5112"/>
            <w:vAlign w:val="top"/>
          </w:tcPr>
          <w:p>
            <w:pPr>
              <w:spacing w:after="0"/>
            </w:pPr>
            <w:r/>
            <w:r>
              <w:rPr>
                <w:rFonts w:ascii="Arial" w:hAnsi="Arial"/>
                <w:b w:val="0"/>
                <w:sz w:val="17"/>
              </w:rPr>
              <w:t>Allows adsorption, association, or conjugate formation.</w:t>
            </w:r>
          </w:p>
        </w:tc>
      </w:tr>
      <w:tr>
        <w:tc>
          <w:tcPr>
            <w:tcW w:type="dxa" w:w="5112"/>
            <w:vAlign w:val="top"/>
          </w:tcPr>
          <w:p>
            <w:pPr>
              <w:spacing w:after="0"/>
            </w:pPr>
            <w:r/>
            <w:r>
              <w:rPr>
                <w:rFonts w:ascii="Arial" w:hAnsi="Arial"/>
                <w:b w:val="0"/>
                <w:sz w:val="17"/>
              </w:rPr>
              <w:t>Blocking or stabilization</w:t>
            </w:r>
          </w:p>
        </w:tc>
        <w:tc>
          <w:tcPr>
            <w:tcW w:type="dxa" w:w="5112"/>
            <w:vAlign w:val="top"/>
          </w:tcPr>
          <w:p>
            <w:pPr>
              <w:spacing w:after="0"/>
            </w:pPr>
            <w:r/>
            <w:r>
              <w:rPr>
                <w:rFonts w:ascii="Arial" w:hAnsi="Arial"/>
                <w:b w:val="0"/>
                <w:sz w:val="17"/>
              </w:rPr>
              <w:t>Reduces non-specific surface interactions and aggregation.</w:t>
            </w:r>
          </w:p>
        </w:tc>
      </w:tr>
      <w:tr>
        <w:tc>
          <w:tcPr>
            <w:tcW w:type="dxa" w:w="5112"/>
            <w:vAlign w:val="top"/>
          </w:tcPr>
          <w:p>
            <w:pPr>
              <w:spacing w:after="0"/>
            </w:pPr>
            <w:r/>
            <w:r>
              <w:rPr>
                <w:rFonts w:ascii="Arial" w:hAnsi="Arial"/>
                <w:b w:val="0"/>
                <w:sz w:val="17"/>
              </w:rPr>
              <w:t>Purification</w:t>
            </w:r>
          </w:p>
        </w:tc>
        <w:tc>
          <w:tcPr>
            <w:tcW w:type="dxa" w:w="5112"/>
            <w:vAlign w:val="top"/>
          </w:tcPr>
          <w:p>
            <w:pPr>
              <w:spacing w:after="0"/>
            </w:pPr>
            <w:r/>
            <w:r>
              <w:rPr>
                <w:rFonts w:ascii="Arial" w:hAnsi="Arial"/>
                <w:b w:val="0"/>
                <w:sz w:val="17"/>
              </w:rPr>
              <w:t>Removes unbound antibody and excess stabilizer where required.</w:t>
            </w:r>
          </w:p>
        </w:tc>
      </w:tr>
      <w:tr>
        <w:tc>
          <w:tcPr>
            <w:tcW w:type="dxa" w:w="5112"/>
            <w:vAlign w:val="top"/>
          </w:tcPr>
          <w:p>
            <w:pPr>
              <w:spacing w:after="0"/>
            </w:pPr>
            <w:r/>
            <w:r>
              <w:rPr>
                <w:rFonts w:ascii="Arial" w:hAnsi="Arial"/>
                <w:b w:val="0"/>
                <w:sz w:val="17"/>
              </w:rPr>
              <w:t>External immunoassay testing</w:t>
            </w:r>
          </w:p>
        </w:tc>
        <w:tc>
          <w:tcPr>
            <w:tcW w:type="dxa" w:w="5112"/>
            <w:vAlign w:val="top"/>
          </w:tcPr>
          <w:p>
            <w:pPr>
              <w:spacing w:after="0"/>
            </w:pPr>
            <w:r/>
            <w:r>
              <w:rPr>
                <w:rFonts w:ascii="Arial" w:hAnsi="Arial"/>
                <w:b w:val="0"/>
                <w:sz w:val="17"/>
              </w:rPr>
              <w:t>Determines whether antigen recognition is retained.</w:t>
            </w:r>
          </w:p>
        </w:tc>
      </w:tr>
    </w:tbl>
    <w:p/>
    <w:p>
      <w:pPr>
        <w:pStyle w:val="Heading1"/>
        <w:spacing w:before="160" w:after="80"/>
      </w:pPr>
      <w:r>
        <w:t>4. Why Silver Nanoparticles Are Used</w:t>
      </w:r>
    </w:p>
    <w:p>
      <w:pPr>
        <w:spacing w:after="120" w:line="252" w:lineRule="auto"/>
      </w:pPr>
      <w:r>
        <w:rPr>
          <w:rFonts w:ascii="Arial" w:hAnsi="Arial"/>
          <w:b w:val="0"/>
          <w:i w:val="0"/>
          <w:sz w:val="20"/>
        </w:rPr>
        <w:t>Silver nanoparticles are useful for immunoassay probe development because they possess strong optical properties, visible colloidal color, surface interaction capacity, and potential compatibility with signal-enhancement systems. They can serve as a demonstrative nanolabel platform for teaching and early probe-development workflows.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Feature of AgNPs</w:t>
            </w:r>
          </w:p>
        </w:tc>
        <w:tc>
          <w:tcPr>
            <w:tcW w:type="dxa" w:w="5112"/>
            <w:shd w:fill="D9EAF7"/>
            <w:vAlign w:val="center"/>
          </w:tcPr>
          <w:p>
            <w:pPr>
              <w:spacing w:after="0"/>
            </w:pPr>
            <w:r/>
            <w:r>
              <w:rPr>
                <w:rFonts w:ascii="Arial" w:hAnsi="Arial"/>
                <w:b/>
                <w:sz w:val="17"/>
              </w:rPr>
              <w:t>Relevance to immunoassay probe development</w:t>
            </w:r>
          </w:p>
        </w:tc>
      </w:tr>
      <w:tr>
        <w:tc>
          <w:tcPr>
            <w:tcW w:type="dxa" w:w="5112"/>
            <w:vAlign w:val="top"/>
          </w:tcPr>
          <w:p>
            <w:pPr>
              <w:spacing w:after="0"/>
            </w:pPr>
            <w:r/>
            <w:r>
              <w:rPr>
                <w:rFonts w:ascii="Arial" w:hAnsi="Arial"/>
                <w:b w:val="0"/>
                <w:sz w:val="17"/>
              </w:rPr>
              <w:t>Visible colloidal color</w:t>
            </w:r>
          </w:p>
        </w:tc>
        <w:tc>
          <w:tcPr>
            <w:tcW w:type="dxa" w:w="5112"/>
            <w:vAlign w:val="top"/>
          </w:tcPr>
          <w:p>
            <w:pPr>
              <w:spacing w:after="0"/>
            </w:pPr>
            <w:r/>
            <w:r>
              <w:rPr>
                <w:rFonts w:ascii="Arial" w:hAnsi="Arial"/>
                <w:b w:val="0"/>
                <w:sz w:val="17"/>
              </w:rPr>
              <w:t>Allows preliminary visual monitoring of dispersion condition and aggregation.</w:t>
            </w:r>
          </w:p>
        </w:tc>
      </w:tr>
      <w:tr>
        <w:tc>
          <w:tcPr>
            <w:tcW w:type="dxa" w:w="5112"/>
            <w:vAlign w:val="top"/>
          </w:tcPr>
          <w:p>
            <w:pPr>
              <w:spacing w:after="0"/>
            </w:pPr>
            <w:r/>
            <w:r>
              <w:rPr>
                <w:rFonts w:ascii="Arial" w:hAnsi="Arial"/>
                <w:b w:val="0"/>
                <w:sz w:val="17"/>
              </w:rPr>
              <w:t>Surface interaction capacity</w:t>
            </w:r>
          </w:p>
        </w:tc>
        <w:tc>
          <w:tcPr>
            <w:tcW w:type="dxa" w:w="5112"/>
            <w:vAlign w:val="top"/>
          </w:tcPr>
          <w:p>
            <w:pPr>
              <w:spacing w:after="0"/>
            </w:pPr>
            <w:r/>
            <w:r>
              <w:rPr>
                <w:rFonts w:ascii="Arial" w:hAnsi="Arial"/>
                <w:b w:val="0"/>
                <w:sz w:val="17"/>
              </w:rPr>
              <w:t>Can support antibody adsorption or functionalization under suitable conditions.</w:t>
            </w:r>
          </w:p>
        </w:tc>
      </w:tr>
      <w:tr>
        <w:tc>
          <w:tcPr>
            <w:tcW w:type="dxa" w:w="5112"/>
            <w:vAlign w:val="top"/>
          </w:tcPr>
          <w:p>
            <w:pPr>
              <w:spacing w:after="0"/>
            </w:pPr>
            <w:r/>
            <w:r>
              <w:rPr>
                <w:rFonts w:ascii="Arial" w:hAnsi="Arial"/>
                <w:b w:val="0"/>
                <w:sz w:val="17"/>
              </w:rPr>
              <w:t>Nanomaterial signal potential</w:t>
            </w:r>
          </w:p>
        </w:tc>
        <w:tc>
          <w:tcPr>
            <w:tcW w:type="dxa" w:w="5112"/>
            <w:vAlign w:val="top"/>
          </w:tcPr>
          <w:p>
            <w:pPr>
              <w:spacing w:after="0"/>
            </w:pPr>
            <w:r/>
            <w:r>
              <w:rPr>
                <w:rFonts w:ascii="Arial" w:hAnsi="Arial"/>
                <w:b w:val="0"/>
                <w:sz w:val="17"/>
              </w:rPr>
              <w:t>Useful for colorimetric, optical, or surface-enhanced detection concepts.</w:t>
            </w:r>
          </w:p>
        </w:tc>
      </w:tr>
      <w:tr>
        <w:tc>
          <w:tcPr>
            <w:tcW w:type="dxa" w:w="5112"/>
            <w:vAlign w:val="top"/>
          </w:tcPr>
          <w:p>
            <w:pPr>
              <w:spacing w:after="0"/>
            </w:pPr>
            <w:r/>
            <w:r>
              <w:rPr>
                <w:rFonts w:ascii="Arial" w:hAnsi="Arial"/>
                <w:b w:val="0"/>
                <w:sz w:val="17"/>
              </w:rPr>
              <w:t>Research familiarity</w:t>
            </w:r>
          </w:p>
        </w:tc>
        <w:tc>
          <w:tcPr>
            <w:tcW w:type="dxa" w:w="5112"/>
            <w:vAlign w:val="top"/>
          </w:tcPr>
          <w:p>
            <w:pPr>
              <w:spacing w:after="0"/>
            </w:pPr>
            <w:r/>
            <w:r>
              <w:rPr>
                <w:rFonts w:ascii="Arial" w:hAnsi="Arial"/>
                <w:b w:val="0"/>
                <w:sz w:val="17"/>
              </w:rPr>
              <w:t>Commonly used in nano-biointerface and biosensor literature.</w:t>
            </w:r>
          </w:p>
        </w:tc>
      </w:tr>
      <w:tr>
        <w:tc>
          <w:tcPr>
            <w:tcW w:type="dxa" w:w="5112"/>
            <w:vAlign w:val="top"/>
          </w:tcPr>
          <w:p>
            <w:pPr>
              <w:spacing w:after="0"/>
            </w:pPr>
            <w:r/>
            <w:r>
              <w:rPr>
                <w:rFonts w:ascii="Arial" w:hAnsi="Arial"/>
                <w:b w:val="0"/>
                <w:sz w:val="17"/>
              </w:rPr>
              <w:t>Educational value</w:t>
            </w:r>
          </w:p>
        </w:tc>
        <w:tc>
          <w:tcPr>
            <w:tcW w:type="dxa" w:w="5112"/>
            <w:vAlign w:val="top"/>
          </w:tcPr>
          <w:p>
            <w:pPr>
              <w:spacing w:after="0"/>
            </w:pPr>
            <w:r/>
            <w:r>
              <w:rPr>
                <w:rFonts w:ascii="Arial" w:hAnsi="Arial"/>
                <w:b w:val="0"/>
                <w:sz w:val="17"/>
              </w:rPr>
              <w:t>Easy to explain as a nanolabel attached to a biological recognition element.</w:t>
            </w:r>
          </w:p>
        </w:tc>
      </w:tr>
    </w:tbl>
    <w:p/>
    <w:p>
      <w:pPr>
        <w:spacing w:after="120" w:line="252" w:lineRule="auto"/>
      </w:pPr>
      <w:r>
        <w:rPr>
          <w:rFonts w:ascii="Arial" w:hAnsi="Arial"/>
          <w:b w:val="0"/>
          <w:i w:val="0"/>
          <w:sz w:val="20"/>
        </w:rPr>
        <w:t>The use of silver nanoparticles should remain carefully framed. Their presence does not by itself prove assay sensitivity, specificity, stability, or safety. Those outputs must be demonstrated through external immunological and analytical testing.</w:t>
      </w:r>
    </w:p>
    <w:p>
      <w:pPr>
        <w:pStyle w:val="Heading1"/>
        <w:spacing w:before="160" w:after="80"/>
      </w:pPr>
      <w:r>
        <w:t>5. Why Antibody Conjugation Is Important</w:t>
      </w:r>
    </w:p>
    <w:p>
      <w:pPr>
        <w:spacing w:after="120" w:line="252" w:lineRule="auto"/>
      </w:pPr>
      <w:r>
        <w:rPr>
          <w:rFonts w:ascii="Arial" w:hAnsi="Arial"/>
          <w:b w:val="0"/>
          <w:i w:val="0"/>
          <w:sz w:val="20"/>
        </w:rPr>
        <w:t>Antibodies provide selective recognition of target antigens. In an immunoassay probe, the antibody is the component that determines what the probe is intended to recognize. When antibodies are associated with nanoparticles, the resulting conjugate can combine recognition with a visual or instrumental signal-generating label.</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Antibody-related factor</w:t>
            </w:r>
          </w:p>
        </w:tc>
        <w:tc>
          <w:tcPr>
            <w:tcW w:type="dxa" w:w="5112"/>
            <w:shd w:fill="D9EAF7"/>
            <w:vAlign w:val="center"/>
          </w:tcPr>
          <w:p>
            <w:pPr>
              <w:spacing w:after="0"/>
            </w:pPr>
            <w:r/>
            <w:r>
              <w:rPr>
                <w:rFonts w:ascii="Arial" w:hAnsi="Arial"/>
                <w:b/>
                <w:sz w:val="17"/>
              </w:rPr>
              <w:t>Why it matters</w:t>
            </w:r>
          </w:p>
        </w:tc>
      </w:tr>
      <w:tr>
        <w:tc>
          <w:tcPr>
            <w:tcW w:type="dxa" w:w="5112"/>
            <w:vAlign w:val="top"/>
          </w:tcPr>
          <w:p>
            <w:pPr>
              <w:spacing w:after="0"/>
            </w:pPr>
            <w:r/>
            <w:r>
              <w:rPr>
                <w:rFonts w:ascii="Arial" w:hAnsi="Arial"/>
                <w:b w:val="0"/>
                <w:sz w:val="17"/>
              </w:rPr>
              <w:t>Antibody specificity</w:t>
            </w:r>
          </w:p>
        </w:tc>
        <w:tc>
          <w:tcPr>
            <w:tcW w:type="dxa" w:w="5112"/>
            <w:vAlign w:val="top"/>
          </w:tcPr>
          <w:p>
            <w:pPr>
              <w:spacing w:after="0"/>
            </w:pPr>
            <w:r/>
            <w:r>
              <w:rPr>
                <w:rFonts w:ascii="Arial" w:hAnsi="Arial"/>
                <w:b w:val="0"/>
                <w:sz w:val="17"/>
              </w:rPr>
              <w:t>Determines which antigen can be recognized.</w:t>
            </w:r>
          </w:p>
        </w:tc>
      </w:tr>
      <w:tr>
        <w:tc>
          <w:tcPr>
            <w:tcW w:type="dxa" w:w="5112"/>
            <w:vAlign w:val="top"/>
          </w:tcPr>
          <w:p>
            <w:pPr>
              <w:spacing w:after="0"/>
            </w:pPr>
            <w:r/>
            <w:r>
              <w:rPr>
                <w:rFonts w:ascii="Arial" w:hAnsi="Arial"/>
                <w:b w:val="0"/>
                <w:sz w:val="17"/>
              </w:rPr>
              <w:t>Antibody concentration</w:t>
            </w:r>
          </w:p>
        </w:tc>
        <w:tc>
          <w:tcPr>
            <w:tcW w:type="dxa" w:w="5112"/>
            <w:vAlign w:val="top"/>
          </w:tcPr>
          <w:p>
            <w:pPr>
              <w:spacing w:after="0"/>
            </w:pPr>
            <w:r/>
            <w:r>
              <w:rPr>
                <w:rFonts w:ascii="Arial" w:hAnsi="Arial"/>
                <w:b w:val="0"/>
                <w:sz w:val="17"/>
              </w:rPr>
              <w:t>Affects surface coverage and unbound antibody background.</w:t>
            </w:r>
          </w:p>
        </w:tc>
      </w:tr>
      <w:tr>
        <w:tc>
          <w:tcPr>
            <w:tcW w:type="dxa" w:w="5112"/>
            <w:vAlign w:val="top"/>
          </w:tcPr>
          <w:p>
            <w:pPr>
              <w:spacing w:after="0"/>
            </w:pPr>
            <w:r/>
            <w:r>
              <w:rPr>
                <w:rFonts w:ascii="Arial" w:hAnsi="Arial"/>
                <w:b w:val="0"/>
                <w:sz w:val="17"/>
              </w:rPr>
              <w:t>Orientation on nanoparticle</w:t>
            </w:r>
          </w:p>
        </w:tc>
        <w:tc>
          <w:tcPr>
            <w:tcW w:type="dxa" w:w="5112"/>
            <w:vAlign w:val="top"/>
          </w:tcPr>
          <w:p>
            <w:pPr>
              <w:spacing w:after="0"/>
            </w:pPr>
            <w:r/>
            <w:r>
              <w:rPr>
                <w:rFonts w:ascii="Arial" w:hAnsi="Arial"/>
                <w:b w:val="0"/>
                <w:sz w:val="17"/>
              </w:rPr>
              <w:t>Can influence antigen-binding availability.</w:t>
            </w:r>
          </w:p>
        </w:tc>
      </w:tr>
      <w:tr>
        <w:tc>
          <w:tcPr>
            <w:tcW w:type="dxa" w:w="5112"/>
            <w:vAlign w:val="top"/>
          </w:tcPr>
          <w:p>
            <w:pPr>
              <w:spacing w:after="0"/>
            </w:pPr>
            <w:r/>
            <w:r>
              <w:rPr>
                <w:rFonts w:ascii="Arial" w:hAnsi="Arial"/>
                <w:b w:val="0"/>
                <w:sz w:val="17"/>
              </w:rPr>
              <w:t>Buffer pH and ionic strength</w:t>
            </w:r>
          </w:p>
        </w:tc>
        <w:tc>
          <w:tcPr>
            <w:tcW w:type="dxa" w:w="5112"/>
            <w:vAlign w:val="top"/>
          </w:tcPr>
          <w:p>
            <w:pPr>
              <w:spacing w:after="0"/>
            </w:pPr>
            <w:r/>
            <w:r>
              <w:rPr>
                <w:rFonts w:ascii="Arial" w:hAnsi="Arial"/>
                <w:b w:val="0"/>
                <w:sz w:val="17"/>
              </w:rPr>
              <w:t>Affects antibody stability and nanoparticle aggregation.</w:t>
            </w:r>
          </w:p>
        </w:tc>
      </w:tr>
      <w:tr>
        <w:tc>
          <w:tcPr>
            <w:tcW w:type="dxa" w:w="5112"/>
            <w:vAlign w:val="top"/>
          </w:tcPr>
          <w:p>
            <w:pPr>
              <w:spacing w:after="0"/>
            </w:pPr>
            <w:r/>
            <w:r>
              <w:rPr>
                <w:rFonts w:ascii="Arial" w:hAnsi="Arial"/>
                <w:b w:val="0"/>
                <w:sz w:val="17"/>
              </w:rPr>
              <w:t>Incubation time</w:t>
            </w:r>
          </w:p>
        </w:tc>
        <w:tc>
          <w:tcPr>
            <w:tcW w:type="dxa" w:w="5112"/>
            <w:vAlign w:val="top"/>
          </w:tcPr>
          <w:p>
            <w:pPr>
              <w:spacing w:after="0"/>
            </w:pPr>
            <w:r/>
            <w:r>
              <w:rPr>
                <w:rFonts w:ascii="Arial" w:hAnsi="Arial"/>
                <w:b w:val="0"/>
                <w:sz w:val="17"/>
              </w:rPr>
              <w:t>Influences association and surface coverage.</w:t>
            </w:r>
          </w:p>
        </w:tc>
      </w:tr>
      <w:tr>
        <w:tc>
          <w:tcPr>
            <w:tcW w:type="dxa" w:w="5112"/>
            <w:vAlign w:val="top"/>
          </w:tcPr>
          <w:p>
            <w:pPr>
              <w:spacing w:after="0"/>
            </w:pPr>
            <w:r/>
            <w:r>
              <w:rPr>
                <w:rFonts w:ascii="Arial" w:hAnsi="Arial"/>
                <w:b w:val="0"/>
                <w:sz w:val="17"/>
              </w:rPr>
              <w:t>Blocking agent</w:t>
            </w:r>
          </w:p>
        </w:tc>
        <w:tc>
          <w:tcPr>
            <w:tcW w:type="dxa" w:w="5112"/>
            <w:vAlign w:val="top"/>
          </w:tcPr>
          <w:p>
            <w:pPr>
              <w:spacing w:after="0"/>
            </w:pPr>
            <w:r/>
            <w:r>
              <w:rPr>
                <w:rFonts w:ascii="Arial" w:hAnsi="Arial"/>
                <w:b w:val="0"/>
                <w:sz w:val="17"/>
              </w:rPr>
              <w:t>Reduces non-specific interactions.</w:t>
            </w:r>
          </w:p>
        </w:tc>
      </w:tr>
      <w:tr>
        <w:tc>
          <w:tcPr>
            <w:tcW w:type="dxa" w:w="5112"/>
            <w:vAlign w:val="top"/>
          </w:tcPr>
          <w:p>
            <w:pPr>
              <w:spacing w:after="0"/>
            </w:pPr>
            <w:r/>
            <w:r>
              <w:rPr>
                <w:rFonts w:ascii="Arial" w:hAnsi="Arial"/>
                <w:b w:val="0"/>
                <w:sz w:val="17"/>
              </w:rPr>
              <w:t>Storage condition</w:t>
            </w:r>
          </w:p>
        </w:tc>
        <w:tc>
          <w:tcPr>
            <w:tcW w:type="dxa" w:w="5112"/>
            <w:vAlign w:val="top"/>
          </w:tcPr>
          <w:p>
            <w:pPr>
              <w:spacing w:after="0"/>
            </w:pPr>
            <w:r/>
            <w:r>
              <w:rPr>
                <w:rFonts w:ascii="Arial" w:hAnsi="Arial"/>
                <w:b w:val="0"/>
                <w:sz w:val="17"/>
              </w:rPr>
              <w:t>Affects long-term functional stability.</w:t>
            </w:r>
          </w:p>
        </w:tc>
      </w:tr>
    </w:tbl>
    <w:p/>
    <w:p>
      <w:pPr>
        <w:spacing w:after="120" w:line="252" w:lineRule="auto"/>
      </w:pPr>
      <w:r>
        <w:rPr>
          <w:rFonts w:ascii="Arial" w:hAnsi="Arial"/>
          <w:b w:val="0"/>
          <w:i w:val="0"/>
          <w:sz w:val="20"/>
        </w:rPr>
        <w:t>In early research workflows, antibody attachment may be performed through passive adsorption, electrostatic interaction, linker-mediated chemistry, or pre-functionalized surfaces. The selected approach should match the antibody type, nanoparticle surface chemistry, and intended assay format.</w:t>
      </w:r>
    </w:p>
    <w:p>
      <w:pPr>
        <w:pStyle w:val="Heading1"/>
        <w:spacing w:before="160" w:after="80"/>
      </w:pPr>
      <w:r>
        <w:t>6. Scientific Background: Nanoparticle-Antibody Interface</w:t>
      </w:r>
    </w:p>
    <w:p>
      <w:pPr>
        <w:spacing w:after="120" w:line="252" w:lineRule="auto"/>
      </w:pPr>
      <w:r>
        <w:rPr>
          <w:rFonts w:ascii="Arial" w:hAnsi="Arial"/>
          <w:b w:val="0"/>
          <w:i w:val="0"/>
          <w:sz w:val="20"/>
        </w:rPr>
        <w:t>The nanoparticle-antibody interface is sensitive because both components are colloidal and biological in nature. A nanoparticle may aggregate if its surface charge or stabilizing layer is disturbed. An antibody may lose binding activity if exposed to unsuitable pH, high temperature, excessive shear, or harsh sonication. Therefore, successful conjugate preparation requires a balance between surface attachment and biological preservation.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Interface issue</w:t>
            </w:r>
          </w:p>
        </w:tc>
        <w:tc>
          <w:tcPr>
            <w:tcW w:type="dxa" w:w="5112"/>
            <w:shd w:fill="D9EAF7"/>
            <w:vAlign w:val="center"/>
          </w:tcPr>
          <w:p>
            <w:pPr>
              <w:spacing w:after="0"/>
            </w:pPr>
            <w:r/>
            <w:r>
              <w:rPr>
                <w:rFonts w:ascii="Arial" w:hAnsi="Arial"/>
                <w:b/>
                <w:sz w:val="17"/>
              </w:rPr>
              <w:t>Possible outcome</w:t>
            </w:r>
          </w:p>
        </w:tc>
      </w:tr>
      <w:tr>
        <w:tc>
          <w:tcPr>
            <w:tcW w:type="dxa" w:w="5112"/>
            <w:vAlign w:val="top"/>
          </w:tcPr>
          <w:p>
            <w:pPr>
              <w:spacing w:after="0"/>
            </w:pPr>
            <w:r/>
            <w:r>
              <w:rPr>
                <w:rFonts w:ascii="Arial" w:hAnsi="Arial"/>
                <w:b w:val="0"/>
                <w:sz w:val="17"/>
              </w:rPr>
              <w:t>Poor buffer condition</w:t>
            </w:r>
          </w:p>
        </w:tc>
        <w:tc>
          <w:tcPr>
            <w:tcW w:type="dxa" w:w="5112"/>
            <w:vAlign w:val="top"/>
          </w:tcPr>
          <w:p>
            <w:pPr>
              <w:spacing w:after="0"/>
            </w:pPr>
            <w:r/>
            <w:r>
              <w:rPr>
                <w:rFonts w:ascii="Arial" w:hAnsi="Arial"/>
                <w:b w:val="0"/>
                <w:sz w:val="17"/>
              </w:rPr>
              <w:t>Aggregation or loss of antibody activity.</w:t>
            </w:r>
          </w:p>
        </w:tc>
      </w:tr>
      <w:tr>
        <w:tc>
          <w:tcPr>
            <w:tcW w:type="dxa" w:w="5112"/>
            <w:vAlign w:val="top"/>
          </w:tcPr>
          <w:p>
            <w:pPr>
              <w:spacing w:after="0"/>
            </w:pPr>
            <w:r/>
            <w:r>
              <w:rPr>
                <w:rFonts w:ascii="Arial" w:hAnsi="Arial"/>
                <w:b w:val="0"/>
                <w:sz w:val="17"/>
              </w:rPr>
              <w:t>Excess antibody</w:t>
            </w:r>
          </w:p>
        </w:tc>
        <w:tc>
          <w:tcPr>
            <w:tcW w:type="dxa" w:w="5112"/>
            <w:vAlign w:val="top"/>
          </w:tcPr>
          <w:p>
            <w:pPr>
              <w:spacing w:after="0"/>
            </w:pPr>
            <w:r/>
            <w:r>
              <w:rPr>
                <w:rFonts w:ascii="Arial" w:hAnsi="Arial"/>
                <w:b w:val="0"/>
                <w:sz w:val="17"/>
              </w:rPr>
              <w:t>High background or need for purification.</w:t>
            </w:r>
          </w:p>
        </w:tc>
      </w:tr>
      <w:tr>
        <w:tc>
          <w:tcPr>
            <w:tcW w:type="dxa" w:w="5112"/>
            <w:vAlign w:val="top"/>
          </w:tcPr>
          <w:p>
            <w:pPr>
              <w:spacing w:after="0"/>
            </w:pPr>
            <w:r/>
            <w:r>
              <w:rPr>
                <w:rFonts w:ascii="Arial" w:hAnsi="Arial"/>
                <w:b w:val="0"/>
                <w:sz w:val="17"/>
              </w:rPr>
              <w:t>Insufficient antibody</w:t>
            </w:r>
          </w:p>
        </w:tc>
        <w:tc>
          <w:tcPr>
            <w:tcW w:type="dxa" w:w="5112"/>
            <w:vAlign w:val="top"/>
          </w:tcPr>
          <w:p>
            <w:pPr>
              <w:spacing w:after="0"/>
            </w:pPr>
            <w:r/>
            <w:r>
              <w:rPr>
                <w:rFonts w:ascii="Arial" w:hAnsi="Arial"/>
                <w:b w:val="0"/>
                <w:sz w:val="17"/>
              </w:rPr>
              <w:t>Poor antigen recognition or unstable surface coverage.</w:t>
            </w:r>
          </w:p>
        </w:tc>
      </w:tr>
      <w:tr>
        <w:tc>
          <w:tcPr>
            <w:tcW w:type="dxa" w:w="5112"/>
            <w:vAlign w:val="top"/>
          </w:tcPr>
          <w:p>
            <w:pPr>
              <w:spacing w:after="0"/>
            </w:pPr>
            <w:r/>
            <w:r>
              <w:rPr>
                <w:rFonts w:ascii="Arial" w:hAnsi="Arial"/>
                <w:b w:val="0"/>
                <w:sz w:val="17"/>
              </w:rPr>
              <w:t>Strong mixing or sonication</w:t>
            </w:r>
          </w:p>
        </w:tc>
        <w:tc>
          <w:tcPr>
            <w:tcW w:type="dxa" w:w="5112"/>
            <w:vAlign w:val="top"/>
          </w:tcPr>
          <w:p>
            <w:pPr>
              <w:spacing w:after="0"/>
            </w:pPr>
            <w:r/>
            <w:r>
              <w:rPr>
                <w:rFonts w:ascii="Arial" w:hAnsi="Arial"/>
                <w:b w:val="0"/>
                <w:sz w:val="17"/>
              </w:rPr>
              <w:t>Potential antibody damage or foam generation.</w:t>
            </w:r>
          </w:p>
        </w:tc>
      </w:tr>
      <w:tr>
        <w:tc>
          <w:tcPr>
            <w:tcW w:type="dxa" w:w="5112"/>
            <w:vAlign w:val="top"/>
          </w:tcPr>
          <w:p>
            <w:pPr>
              <w:spacing w:after="0"/>
            </w:pPr>
            <w:r/>
            <w:r>
              <w:rPr>
                <w:rFonts w:ascii="Arial" w:hAnsi="Arial"/>
                <w:b w:val="0"/>
                <w:sz w:val="17"/>
              </w:rPr>
              <w:t>Inadequate blocking</w:t>
            </w:r>
          </w:p>
        </w:tc>
        <w:tc>
          <w:tcPr>
            <w:tcW w:type="dxa" w:w="5112"/>
            <w:vAlign w:val="top"/>
          </w:tcPr>
          <w:p>
            <w:pPr>
              <w:spacing w:after="0"/>
            </w:pPr>
            <w:r/>
            <w:r>
              <w:rPr>
                <w:rFonts w:ascii="Arial" w:hAnsi="Arial"/>
                <w:b w:val="0"/>
                <w:sz w:val="17"/>
              </w:rPr>
              <w:t>Non-specific binding in immunoassay.</w:t>
            </w:r>
          </w:p>
        </w:tc>
      </w:tr>
      <w:tr>
        <w:tc>
          <w:tcPr>
            <w:tcW w:type="dxa" w:w="5112"/>
            <w:vAlign w:val="top"/>
          </w:tcPr>
          <w:p>
            <w:pPr>
              <w:spacing w:after="0"/>
            </w:pPr>
            <w:r/>
            <w:r>
              <w:rPr>
                <w:rFonts w:ascii="Arial" w:hAnsi="Arial"/>
                <w:b w:val="0"/>
                <w:sz w:val="17"/>
              </w:rPr>
              <w:t>Poor purification</w:t>
            </w:r>
          </w:p>
        </w:tc>
        <w:tc>
          <w:tcPr>
            <w:tcW w:type="dxa" w:w="5112"/>
            <w:vAlign w:val="top"/>
          </w:tcPr>
          <w:p>
            <w:pPr>
              <w:spacing w:after="0"/>
            </w:pPr>
            <w:r/>
            <w:r>
              <w:rPr>
                <w:rFonts w:ascii="Arial" w:hAnsi="Arial"/>
                <w:b w:val="0"/>
                <w:sz w:val="17"/>
              </w:rPr>
              <w:t>Unbound antibody may interfere with assay interpretation.</w:t>
            </w:r>
          </w:p>
        </w:tc>
      </w:tr>
    </w:tbl>
    <w:p/>
    <w:p>
      <w:pPr>
        <w:pStyle w:val="Heading1"/>
        <w:spacing w:before="160" w:after="80"/>
      </w:pPr>
      <w:r>
        <w:t>7. Possible Conjugation Strategies</w:t>
      </w:r>
    </w:p>
    <w:p>
      <w:pPr>
        <w:spacing w:after="120" w:line="252" w:lineRule="auto"/>
      </w:pPr>
      <w:r>
        <w:rPr>
          <w:rFonts w:ascii="Arial" w:hAnsi="Arial"/>
          <w:b w:val="0"/>
          <w:i w:val="0"/>
          <w:sz w:val="20"/>
        </w:rPr>
        <w:t>This protocol can be used as a flexible framework because AgNP-antibody conjugation may be approached through different strategies. The selected route should be declared in the specific Protoly run or supporting notes.</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vAlign w:val="center"/>
          </w:tcPr>
          <w:p>
            <w:pPr>
              <w:spacing w:after="0"/>
            </w:pPr>
            <w:r/>
            <w:r>
              <w:rPr>
                <w:rFonts w:ascii="Arial" w:hAnsi="Arial"/>
                <w:b/>
                <w:sz w:val="17"/>
              </w:rPr>
              <w:t>Strategy</w:t>
            </w:r>
          </w:p>
        </w:tc>
        <w:tc>
          <w:tcPr>
            <w:tcW w:type="dxa" w:w="3408"/>
            <w:shd w:fill="D9EAF7"/>
            <w:vAlign w:val="center"/>
          </w:tcPr>
          <w:p>
            <w:pPr>
              <w:spacing w:after="0"/>
            </w:pPr>
            <w:r/>
            <w:r>
              <w:rPr>
                <w:rFonts w:ascii="Arial" w:hAnsi="Arial"/>
                <w:b/>
                <w:sz w:val="17"/>
              </w:rPr>
              <w:t>Concept</w:t>
            </w:r>
          </w:p>
        </w:tc>
        <w:tc>
          <w:tcPr>
            <w:tcW w:type="dxa" w:w="3408"/>
            <w:shd w:fill="D9EAF7"/>
            <w:vAlign w:val="center"/>
          </w:tcPr>
          <w:p>
            <w:pPr>
              <w:spacing w:after="0"/>
            </w:pPr>
            <w:r/>
            <w:r>
              <w:rPr>
                <w:rFonts w:ascii="Arial" w:hAnsi="Arial"/>
                <w:b/>
                <w:sz w:val="17"/>
              </w:rPr>
              <w:t>Suitability / caution</w:t>
            </w:r>
          </w:p>
        </w:tc>
      </w:tr>
      <w:tr>
        <w:tc>
          <w:tcPr>
            <w:tcW w:type="dxa" w:w="3408"/>
            <w:vAlign w:val="top"/>
          </w:tcPr>
          <w:p>
            <w:pPr>
              <w:spacing w:after="0"/>
            </w:pPr>
            <w:r/>
            <w:r>
              <w:rPr>
                <w:rFonts w:ascii="Arial" w:hAnsi="Arial"/>
                <w:b w:val="0"/>
                <w:sz w:val="17"/>
              </w:rPr>
              <w:t>Passive adsorption</w:t>
            </w:r>
          </w:p>
        </w:tc>
        <w:tc>
          <w:tcPr>
            <w:tcW w:type="dxa" w:w="3408"/>
            <w:vAlign w:val="top"/>
          </w:tcPr>
          <w:p>
            <w:pPr>
              <w:spacing w:after="0"/>
            </w:pPr>
            <w:r/>
            <w:r>
              <w:rPr>
                <w:rFonts w:ascii="Arial" w:hAnsi="Arial"/>
                <w:b w:val="0"/>
                <w:sz w:val="17"/>
              </w:rPr>
              <w:t>Antibody associates with the AgNP surface through physical and electrostatic interactions.</w:t>
            </w:r>
          </w:p>
        </w:tc>
        <w:tc>
          <w:tcPr>
            <w:tcW w:type="dxa" w:w="3408"/>
            <w:vAlign w:val="top"/>
          </w:tcPr>
          <w:p>
            <w:pPr>
              <w:spacing w:after="0"/>
            </w:pPr>
            <w:r/>
            <w:r>
              <w:rPr>
                <w:rFonts w:ascii="Arial" w:hAnsi="Arial"/>
                <w:b w:val="0"/>
                <w:sz w:val="17"/>
              </w:rPr>
              <w:t>Simple and useful for demonstration; stability and orientation may vary.</w:t>
            </w:r>
          </w:p>
        </w:tc>
      </w:tr>
      <w:tr>
        <w:tc>
          <w:tcPr>
            <w:tcW w:type="dxa" w:w="3408"/>
            <w:vAlign w:val="top"/>
          </w:tcPr>
          <w:p>
            <w:pPr>
              <w:spacing w:after="0"/>
            </w:pPr>
            <w:r/>
            <w:r>
              <w:rPr>
                <w:rFonts w:ascii="Arial" w:hAnsi="Arial"/>
                <w:b w:val="0"/>
                <w:sz w:val="17"/>
              </w:rPr>
              <w:t>Linker-assisted conjugation</w:t>
            </w:r>
          </w:p>
        </w:tc>
        <w:tc>
          <w:tcPr>
            <w:tcW w:type="dxa" w:w="3408"/>
            <w:vAlign w:val="top"/>
          </w:tcPr>
          <w:p>
            <w:pPr>
              <w:spacing w:after="0"/>
            </w:pPr>
            <w:r/>
            <w:r>
              <w:rPr>
                <w:rFonts w:ascii="Arial" w:hAnsi="Arial"/>
                <w:b w:val="0"/>
                <w:sz w:val="17"/>
              </w:rPr>
              <w:t>A surface linker or functional coating is used to improve attachment.</w:t>
            </w:r>
          </w:p>
        </w:tc>
        <w:tc>
          <w:tcPr>
            <w:tcW w:type="dxa" w:w="3408"/>
            <w:vAlign w:val="top"/>
          </w:tcPr>
          <w:p>
            <w:pPr>
              <w:spacing w:after="0"/>
            </w:pPr>
            <w:r/>
            <w:r>
              <w:rPr>
                <w:rFonts w:ascii="Arial" w:hAnsi="Arial"/>
                <w:b w:val="0"/>
                <w:sz w:val="17"/>
              </w:rPr>
              <w:t>More controlled but requires additional chemistry and confirmation.</w:t>
            </w:r>
          </w:p>
        </w:tc>
      </w:tr>
      <w:tr>
        <w:tc>
          <w:tcPr>
            <w:tcW w:type="dxa" w:w="3408"/>
            <w:vAlign w:val="top"/>
          </w:tcPr>
          <w:p>
            <w:pPr>
              <w:spacing w:after="0"/>
            </w:pPr>
            <w:r/>
            <w:r>
              <w:rPr>
                <w:rFonts w:ascii="Arial" w:hAnsi="Arial"/>
                <w:b w:val="0"/>
                <w:sz w:val="17"/>
              </w:rPr>
              <w:t>Protein A/G mediated orientation</w:t>
            </w:r>
          </w:p>
        </w:tc>
        <w:tc>
          <w:tcPr>
            <w:tcW w:type="dxa" w:w="3408"/>
            <w:vAlign w:val="top"/>
          </w:tcPr>
          <w:p>
            <w:pPr>
              <w:spacing w:after="0"/>
            </w:pPr>
            <w:r/>
            <w:r>
              <w:rPr>
                <w:rFonts w:ascii="Arial" w:hAnsi="Arial"/>
                <w:b w:val="0"/>
                <w:sz w:val="17"/>
              </w:rPr>
              <w:t>Protein A or G is used to orient antibody Fc region.</w:t>
            </w:r>
          </w:p>
        </w:tc>
        <w:tc>
          <w:tcPr>
            <w:tcW w:type="dxa" w:w="3408"/>
            <w:vAlign w:val="top"/>
          </w:tcPr>
          <w:p>
            <w:pPr>
              <w:spacing w:after="0"/>
            </w:pPr>
            <w:r/>
            <w:r>
              <w:rPr>
                <w:rFonts w:ascii="Arial" w:hAnsi="Arial"/>
                <w:b w:val="0"/>
                <w:sz w:val="17"/>
              </w:rPr>
              <w:t>Useful for improved antigen-binding orientation; preparation is more complex.</w:t>
            </w:r>
          </w:p>
        </w:tc>
      </w:tr>
      <w:tr>
        <w:tc>
          <w:tcPr>
            <w:tcW w:type="dxa" w:w="3408"/>
            <w:vAlign w:val="top"/>
          </w:tcPr>
          <w:p>
            <w:pPr>
              <w:spacing w:after="0"/>
            </w:pPr>
            <w:r/>
            <w:r>
              <w:rPr>
                <w:rFonts w:ascii="Arial" w:hAnsi="Arial"/>
                <w:b w:val="0"/>
                <w:sz w:val="17"/>
              </w:rPr>
              <w:t>Polymer-stabilized conjugation</w:t>
            </w:r>
          </w:p>
        </w:tc>
        <w:tc>
          <w:tcPr>
            <w:tcW w:type="dxa" w:w="3408"/>
            <w:vAlign w:val="top"/>
          </w:tcPr>
          <w:p>
            <w:pPr>
              <w:spacing w:after="0"/>
            </w:pPr>
            <w:r/>
            <w:r>
              <w:rPr>
                <w:rFonts w:ascii="Arial" w:hAnsi="Arial"/>
                <w:b w:val="0"/>
                <w:sz w:val="17"/>
              </w:rPr>
              <w:t>Polymer or protein stabilizer protects the colloid during antibody attachment.</w:t>
            </w:r>
          </w:p>
        </w:tc>
        <w:tc>
          <w:tcPr>
            <w:tcW w:type="dxa" w:w="3408"/>
            <w:vAlign w:val="top"/>
          </w:tcPr>
          <w:p>
            <w:pPr>
              <w:spacing w:after="0"/>
            </w:pPr>
            <w:r/>
            <w:r>
              <w:rPr>
                <w:rFonts w:ascii="Arial" w:hAnsi="Arial"/>
                <w:b w:val="0"/>
                <w:sz w:val="17"/>
              </w:rPr>
              <w:t>Helpful for reducing aggregation but may reduce surface accessibility.</w:t>
            </w:r>
          </w:p>
        </w:tc>
      </w:tr>
      <w:tr>
        <w:tc>
          <w:tcPr>
            <w:tcW w:type="dxa" w:w="3408"/>
            <w:vAlign w:val="top"/>
          </w:tcPr>
          <w:p>
            <w:pPr>
              <w:spacing w:after="0"/>
            </w:pPr>
            <w:r/>
            <w:r>
              <w:rPr>
                <w:rFonts w:ascii="Arial" w:hAnsi="Arial"/>
                <w:b w:val="0"/>
                <w:sz w:val="17"/>
              </w:rPr>
              <w:t>Pre-functionalized AgNP route</w:t>
            </w:r>
          </w:p>
        </w:tc>
        <w:tc>
          <w:tcPr>
            <w:tcW w:type="dxa" w:w="3408"/>
            <w:vAlign w:val="top"/>
          </w:tcPr>
          <w:p>
            <w:pPr>
              <w:spacing w:after="0"/>
            </w:pPr>
            <w:r/>
            <w:r>
              <w:rPr>
                <w:rFonts w:ascii="Arial" w:hAnsi="Arial"/>
                <w:b w:val="0"/>
                <w:sz w:val="17"/>
              </w:rPr>
              <w:t>Commercially or externally prepared functional AgNPs are used.</w:t>
            </w:r>
          </w:p>
        </w:tc>
        <w:tc>
          <w:tcPr>
            <w:tcW w:type="dxa" w:w="3408"/>
            <w:vAlign w:val="top"/>
          </w:tcPr>
          <w:p>
            <w:pPr>
              <w:spacing w:after="0"/>
            </w:pPr>
            <w:r/>
            <w:r>
              <w:rPr>
                <w:rFonts w:ascii="Arial" w:hAnsi="Arial"/>
                <w:b w:val="0"/>
                <w:sz w:val="17"/>
              </w:rPr>
              <w:t>Simplifies NSL workflow but shifts chemistry preparation outside NSL.</w:t>
            </w:r>
          </w:p>
        </w:tc>
      </w:tr>
    </w:tbl>
    <w:p/>
    <w:p>
      <w:pPr>
        <w:spacing w:after="120" w:line="252" w:lineRule="auto"/>
      </w:pPr>
      <w:r>
        <w:rPr>
          <w:rFonts w:ascii="Arial" w:hAnsi="Arial"/>
          <w:b w:val="0"/>
          <w:i w:val="0"/>
          <w:sz w:val="20"/>
        </w:rPr>
        <w:t>For webinar demonstration, passive adsorption or pre-functionalized nanoparticle approaches are easier to explain. For serious immunoassay development, linker chemistry and binding validation are needed.</w:t>
      </w:r>
    </w:p>
    <w:p>
      <w:pPr>
        <w:pStyle w:val="Heading1"/>
        <w:spacing w:before="160" w:after="80"/>
      </w:pPr>
      <w:r>
        <w:t>8. Role of Protoly in This Protocol</w:t>
      </w:r>
    </w:p>
    <w:p>
      <w:pPr>
        <w:spacing w:after="120" w:line="252" w:lineRule="auto"/>
      </w:pPr>
      <w:r>
        <w:rPr>
          <w:rFonts w:ascii="Arial" w:hAnsi="Arial"/>
          <w:b w:val="0"/>
          <w:i w:val="0"/>
          <w:sz w:val="20"/>
        </w:rPr>
        <w:t>Protoly helps convert the conjugate preparation process into a structured digital workflow. This is important because immunoassay probe preparation involves several small but critical operations: conditioning, antibody addition, incubation, blocking, stabilization, and downstream validation.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Protoly function</w:t>
            </w:r>
          </w:p>
        </w:tc>
        <w:tc>
          <w:tcPr>
            <w:tcW w:type="dxa" w:w="5112"/>
            <w:shd w:fill="D9EAF7"/>
            <w:vAlign w:val="center"/>
          </w:tcPr>
          <w:p>
            <w:pPr>
              <w:spacing w:after="0"/>
            </w:pPr>
            <w:r/>
            <w:r>
              <w:rPr>
                <w:rFonts w:ascii="Arial" w:hAnsi="Arial"/>
                <w:b/>
                <w:sz w:val="17"/>
              </w:rPr>
              <w:t>Value in this workflow</w:t>
            </w:r>
          </w:p>
        </w:tc>
      </w:tr>
      <w:tr>
        <w:tc>
          <w:tcPr>
            <w:tcW w:type="dxa" w:w="5112"/>
            <w:vAlign w:val="top"/>
          </w:tcPr>
          <w:p>
            <w:pPr>
              <w:spacing w:after="0"/>
            </w:pPr>
            <w:r/>
            <w:r>
              <w:rPr>
                <w:rFonts w:ascii="Arial" w:hAnsi="Arial"/>
                <w:b w:val="0"/>
                <w:sz w:val="17"/>
              </w:rPr>
              <w:t>Step organization</w:t>
            </w:r>
          </w:p>
        </w:tc>
        <w:tc>
          <w:tcPr>
            <w:tcW w:type="dxa" w:w="5112"/>
            <w:vAlign w:val="top"/>
          </w:tcPr>
          <w:p>
            <w:pPr>
              <w:spacing w:after="0"/>
            </w:pPr>
            <w:r/>
            <w:r>
              <w:rPr>
                <w:rFonts w:ascii="Arial" w:hAnsi="Arial"/>
                <w:b w:val="0"/>
                <w:sz w:val="17"/>
              </w:rPr>
              <w:t>Separates nanoparticle conditioning, antibody addition, blocking, stabilization, and collection.</w:t>
            </w:r>
          </w:p>
        </w:tc>
      </w:tr>
      <w:tr>
        <w:tc>
          <w:tcPr>
            <w:tcW w:type="dxa" w:w="5112"/>
            <w:vAlign w:val="top"/>
          </w:tcPr>
          <w:p>
            <w:pPr>
              <w:spacing w:after="0"/>
            </w:pPr>
            <w:r/>
            <w:r>
              <w:rPr>
                <w:rFonts w:ascii="Arial" w:hAnsi="Arial"/>
                <w:b w:val="0"/>
                <w:sz w:val="17"/>
              </w:rPr>
              <w:t>Variable tracking</w:t>
            </w:r>
          </w:p>
        </w:tc>
        <w:tc>
          <w:tcPr>
            <w:tcW w:type="dxa" w:w="5112"/>
            <w:vAlign w:val="top"/>
          </w:tcPr>
          <w:p>
            <w:pPr>
              <w:spacing w:after="0"/>
            </w:pPr>
            <w:r/>
            <w:r>
              <w:rPr>
                <w:rFonts w:ascii="Arial" w:hAnsi="Arial"/>
                <w:b w:val="0"/>
                <w:sz w:val="17"/>
              </w:rPr>
              <w:t>Records nanoparticle volume, antibody amount, buffer type, stabilizer, and incubation time.</w:t>
            </w:r>
          </w:p>
        </w:tc>
      </w:tr>
      <w:tr>
        <w:tc>
          <w:tcPr>
            <w:tcW w:type="dxa" w:w="5112"/>
            <w:vAlign w:val="top"/>
          </w:tcPr>
          <w:p>
            <w:pPr>
              <w:spacing w:after="0"/>
            </w:pPr>
            <w:r/>
            <w:r>
              <w:rPr>
                <w:rFonts w:ascii="Arial" w:hAnsi="Arial"/>
                <w:b w:val="0"/>
                <w:sz w:val="17"/>
              </w:rPr>
              <w:t>NSL mapping</w:t>
            </w:r>
          </w:p>
        </w:tc>
        <w:tc>
          <w:tcPr>
            <w:tcW w:type="dxa" w:w="5112"/>
            <w:vAlign w:val="top"/>
          </w:tcPr>
          <w:p>
            <w:pPr>
              <w:spacing w:after="0"/>
            </w:pPr>
            <w:r/>
            <w:r>
              <w:rPr>
                <w:rFonts w:ascii="Arial" w:hAnsi="Arial"/>
                <w:b w:val="0"/>
                <w:sz w:val="17"/>
              </w:rPr>
              <w:t>Identifies which actions can be executed by NSL and which remain offline.</w:t>
            </w:r>
          </w:p>
        </w:tc>
      </w:tr>
      <w:tr>
        <w:tc>
          <w:tcPr>
            <w:tcW w:type="dxa" w:w="5112"/>
            <w:vAlign w:val="top"/>
          </w:tcPr>
          <w:p>
            <w:pPr>
              <w:spacing w:after="0"/>
            </w:pPr>
            <w:r/>
            <w:r>
              <w:rPr>
                <w:rFonts w:ascii="Arial" w:hAnsi="Arial"/>
                <w:b w:val="0"/>
                <w:sz w:val="17"/>
              </w:rPr>
              <w:t>Batch comparison</w:t>
            </w:r>
          </w:p>
        </w:tc>
        <w:tc>
          <w:tcPr>
            <w:tcW w:type="dxa" w:w="5112"/>
            <w:vAlign w:val="top"/>
          </w:tcPr>
          <w:p>
            <w:pPr>
              <w:spacing w:after="0"/>
            </w:pPr>
            <w:r/>
            <w:r>
              <w:rPr>
                <w:rFonts w:ascii="Arial" w:hAnsi="Arial"/>
                <w:b w:val="0"/>
                <w:sz w:val="17"/>
              </w:rPr>
              <w:t>Allows different antibody ratios or incubation times to be compared.</w:t>
            </w:r>
          </w:p>
        </w:tc>
      </w:tr>
      <w:tr>
        <w:tc>
          <w:tcPr>
            <w:tcW w:type="dxa" w:w="5112"/>
            <w:vAlign w:val="top"/>
          </w:tcPr>
          <w:p>
            <w:pPr>
              <w:spacing w:after="0"/>
            </w:pPr>
            <w:r/>
            <w:r>
              <w:rPr>
                <w:rFonts w:ascii="Arial" w:hAnsi="Arial"/>
                <w:b w:val="0"/>
                <w:sz w:val="17"/>
              </w:rPr>
              <w:t>Training support</w:t>
            </w:r>
          </w:p>
        </w:tc>
        <w:tc>
          <w:tcPr>
            <w:tcW w:type="dxa" w:w="5112"/>
            <w:vAlign w:val="top"/>
          </w:tcPr>
          <w:p>
            <w:pPr>
              <w:spacing w:after="0"/>
            </w:pPr>
            <w:r/>
            <w:r>
              <w:rPr>
                <w:rFonts w:ascii="Arial" w:hAnsi="Arial"/>
                <w:b w:val="0"/>
                <w:sz w:val="17"/>
              </w:rPr>
              <w:t>Makes nano-bioconjugation easier to explain during a webinar.</w:t>
            </w:r>
          </w:p>
        </w:tc>
      </w:tr>
    </w:tbl>
    <w:p/>
    <w:p>
      <w:pPr>
        <w:pStyle w:val="Heading1"/>
        <w:spacing w:before="160" w:after="80"/>
      </w:pPr>
      <w:r>
        <w:t>9. Role of NSL Modules</w:t>
      </w:r>
    </w:p>
    <w:p>
      <w:pPr>
        <w:spacing w:after="120" w:line="252" w:lineRule="auto"/>
      </w:pPr>
      <w:r>
        <w:rPr>
          <w:rFonts w:ascii="Arial" w:hAnsi="Arial"/>
          <w:b w:val="0"/>
          <w:i w:val="0"/>
          <w:sz w:val="20"/>
        </w:rPr>
        <w:t>The strongest NSL contribution in this protocol is repeatable liquid handling, gentle mixing, timed incubation, and visual documentation. It does not replace immunoassay validation or analytical characterization.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Module</w:t>
            </w:r>
          </w:p>
        </w:tc>
        <w:tc>
          <w:tcPr>
            <w:tcW w:type="dxa" w:w="5112"/>
            <w:shd w:fill="D9EAF7"/>
            <w:vAlign w:val="center"/>
          </w:tcPr>
          <w:p>
            <w:pPr>
              <w:spacing w:after="0"/>
            </w:pPr>
            <w:r/>
            <w:r>
              <w:rPr>
                <w:rFonts w:ascii="Arial" w:hAnsi="Arial"/>
                <w:b/>
                <w:sz w:val="17"/>
              </w:rPr>
              <w:t>Practical role in protocol 12</w:t>
            </w:r>
          </w:p>
        </w:tc>
      </w:tr>
      <w:tr>
        <w:tc>
          <w:tcPr>
            <w:tcW w:type="dxa" w:w="5112"/>
            <w:vAlign w:val="top"/>
          </w:tcPr>
          <w:p>
            <w:pPr>
              <w:spacing w:after="0"/>
            </w:pPr>
            <w:r/>
            <w:r>
              <w:rPr>
                <w:rFonts w:ascii="Arial" w:hAnsi="Arial"/>
                <w:b w:val="0"/>
                <w:sz w:val="17"/>
              </w:rPr>
              <w:t>Reservoir Dispense</w:t>
            </w:r>
          </w:p>
        </w:tc>
        <w:tc>
          <w:tcPr>
            <w:tcW w:type="dxa" w:w="5112"/>
            <w:vAlign w:val="top"/>
          </w:tcPr>
          <w:p>
            <w:pPr>
              <w:spacing w:after="0"/>
            </w:pPr>
            <w:r/>
            <w:r>
              <w:rPr>
                <w:rFonts w:ascii="Arial" w:hAnsi="Arial"/>
                <w:b w:val="0"/>
                <w:sz w:val="17"/>
              </w:rPr>
              <w:t>Adds AgNP dispersion, antibody solution, buffer, blocker, stabilizer, or storage medium in controlled volumes.</w:t>
            </w:r>
          </w:p>
        </w:tc>
      </w:tr>
      <w:tr>
        <w:tc>
          <w:tcPr>
            <w:tcW w:type="dxa" w:w="5112"/>
            <w:vAlign w:val="top"/>
          </w:tcPr>
          <w:p>
            <w:pPr>
              <w:spacing w:after="0"/>
            </w:pPr>
            <w:r/>
            <w:r>
              <w:rPr>
                <w:rFonts w:ascii="Arial" w:hAnsi="Arial"/>
                <w:b w:val="0"/>
                <w:sz w:val="17"/>
              </w:rPr>
              <w:t>Stirrer</w:t>
            </w:r>
          </w:p>
        </w:tc>
        <w:tc>
          <w:tcPr>
            <w:tcW w:type="dxa" w:w="5112"/>
            <w:vAlign w:val="top"/>
          </w:tcPr>
          <w:p>
            <w:pPr>
              <w:spacing w:after="0"/>
            </w:pPr>
            <w:r/>
            <w:r>
              <w:rPr>
                <w:rFonts w:ascii="Arial" w:hAnsi="Arial"/>
                <w:b w:val="0"/>
                <w:sz w:val="17"/>
              </w:rPr>
              <w:t>Supports gentle and repeatable mixing without manual shaking.</w:t>
            </w:r>
          </w:p>
        </w:tc>
      </w:tr>
      <w:tr>
        <w:tc>
          <w:tcPr>
            <w:tcW w:type="dxa" w:w="5112"/>
            <w:vAlign w:val="top"/>
          </w:tcPr>
          <w:p>
            <w:pPr>
              <w:spacing w:after="0"/>
            </w:pPr>
            <w:r/>
            <w:r>
              <w:rPr>
                <w:rFonts w:ascii="Arial" w:hAnsi="Arial"/>
                <w:b w:val="0"/>
                <w:sz w:val="17"/>
              </w:rPr>
              <w:t>Wait</w:t>
            </w:r>
          </w:p>
        </w:tc>
        <w:tc>
          <w:tcPr>
            <w:tcW w:type="dxa" w:w="5112"/>
            <w:vAlign w:val="top"/>
          </w:tcPr>
          <w:p>
            <w:pPr>
              <w:spacing w:after="0"/>
            </w:pPr>
            <w:r/>
            <w:r>
              <w:rPr>
                <w:rFonts w:ascii="Arial" w:hAnsi="Arial"/>
                <w:b w:val="0"/>
                <w:sz w:val="17"/>
              </w:rPr>
              <w:t>Defines incubation, blocking, and stabilization durations.</w:t>
            </w:r>
          </w:p>
        </w:tc>
      </w:tr>
      <w:tr>
        <w:tc>
          <w:tcPr>
            <w:tcW w:type="dxa" w:w="5112"/>
            <w:vAlign w:val="top"/>
          </w:tcPr>
          <w:p>
            <w:pPr>
              <w:spacing w:after="0"/>
            </w:pPr>
            <w:r/>
            <w:r>
              <w:rPr>
                <w:rFonts w:ascii="Arial" w:hAnsi="Arial"/>
                <w:b w:val="0"/>
                <w:sz w:val="17"/>
              </w:rPr>
              <w:t>Heater</w:t>
            </w:r>
          </w:p>
        </w:tc>
        <w:tc>
          <w:tcPr>
            <w:tcW w:type="dxa" w:w="5112"/>
            <w:vAlign w:val="top"/>
          </w:tcPr>
          <w:p>
            <w:pPr>
              <w:spacing w:after="0"/>
            </w:pPr>
            <w:r/>
            <w:r>
              <w:rPr>
                <w:rFonts w:ascii="Arial" w:hAnsi="Arial"/>
                <w:b w:val="0"/>
                <w:sz w:val="17"/>
              </w:rPr>
              <w:t>Optional mild conditioning only if compatible with antibody stability; many antibodies should remain at room temperature or cool conditions.</w:t>
            </w:r>
          </w:p>
        </w:tc>
      </w:tr>
      <w:tr>
        <w:tc>
          <w:tcPr>
            <w:tcW w:type="dxa" w:w="5112"/>
            <w:vAlign w:val="top"/>
          </w:tcPr>
          <w:p>
            <w:pPr>
              <w:spacing w:after="0"/>
            </w:pPr>
            <w:r/>
            <w:r>
              <w:rPr>
                <w:rFonts w:ascii="Arial" w:hAnsi="Arial"/>
                <w:b w:val="0"/>
                <w:sz w:val="17"/>
              </w:rPr>
              <w:t>Sterilization UV</w:t>
            </w:r>
          </w:p>
        </w:tc>
        <w:tc>
          <w:tcPr>
            <w:tcW w:type="dxa" w:w="5112"/>
            <w:vAlign w:val="top"/>
          </w:tcPr>
          <w:p>
            <w:pPr>
              <w:spacing w:after="0"/>
            </w:pPr>
            <w:r/>
            <w:r>
              <w:rPr>
                <w:rFonts w:ascii="Arial" w:hAnsi="Arial"/>
                <w:b w:val="0"/>
                <w:sz w:val="17"/>
              </w:rPr>
              <w:t>Pre-run chamber preparation, not sterility validation.</w:t>
            </w:r>
          </w:p>
        </w:tc>
      </w:tr>
      <w:tr>
        <w:tc>
          <w:tcPr>
            <w:tcW w:type="dxa" w:w="5112"/>
            <w:vAlign w:val="top"/>
          </w:tcPr>
          <w:p>
            <w:pPr>
              <w:spacing w:after="0"/>
            </w:pPr>
            <w:r/>
            <w:r>
              <w:rPr>
                <w:rFonts w:ascii="Arial" w:hAnsi="Arial"/>
                <w:b w:val="0"/>
                <w:sz w:val="17"/>
              </w:rPr>
              <w:t>LED Illumination</w:t>
            </w:r>
          </w:p>
        </w:tc>
        <w:tc>
          <w:tcPr>
            <w:tcW w:type="dxa" w:w="5112"/>
            <w:vAlign w:val="top"/>
          </w:tcPr>
          <w:p>
            <w:pPr>
              <w:spacing w:after="0"/>
            </w:pPr>
            <w:r/>
            <w:r>
              <w:rPr>
                <w:rFonts w:ascii="Arial" w:hAnsi="Arial"/>
                <w:b w:val="0"/>
                <w:sz w:val="17"/>
              </w:rPr>
              <w:t>White-light support for camera observation.</w:t>
            </w:r>
          </w:p>
        </w:tc>
      </w:tr>
      <w:tr>
        <w:tc>
          <w:tcPr>
            <w:tcW w:type="dxa" w:w="5112"/>
            <w:vAlign w:val="top"/>
          </w:tcPr>
          <w:p>
            <w:pPr>
              <w:spacing w:after="0"/>
            </w:pPr>
            <w:r/>
            <w:r>
              <w:rPr>
                <w:rFonts w:ascii="Arial" w:hAnsi="Arial"/>
                <w:b w:val="0"/>
                <w:sz w:val="17"/>
              </w:rPr>
              <w:t>Camera</w:t>
            </w:r>
          </w:p>
        </w:tc>
        <w:tc>
          <w:tcPr>
            <w:tcW w:type="dxa" w:w="5112"/>
            <w:vAlign w:val="top"/>
          </w:tcPr>
          <w:p>
            <w:pPr>
              <w:spacing w:after="0"/>
            </w:pPr>
            <w:r/>
            <w:r>
              <w:rPr>
                <w:rFonts w:ascii="Arial" w:hAnsi="Arial"/>
                <w:b w:val="0"/>
                <w:sz w:val="17"/>
              </w:rPr>
              <w:t>Records visible color change, sediment, turbidity, and aggregation.</w:t>
            </w:r>
          </w:p>
        </w:tc>
      </w:tr>
      <w:tr>
        <w:tc>
          <w:tcPr>
            <w:tcW w:type="dxa" w:w="5112"/>
            <w:vAlign w:val="top"/>
          </w:tcPr>
          <w:p>
            <w:pPr>
              <w:spacing w:after="0"/>
            </w:pPr>
            <w:r/>
            <w:r>
              <w:rPr>
                <w:rFonts w:ascii="Arial" w:hAnsi="Arial"/>
                <w:b w:val="0"/>
                <w:sz w:val="17"/>
              </w:rPr>
              <w:t>Sonicator</w:t>
            </w:r>
          </w:p>
        </w:tc>
        <w:tc>
          <w:tcPr>
            <w:tcW w:type="dxa" w:w="5112"/>
            <w:vAlign w:val="top"/>
          </w:tcPr>
          <w:p>
            <w:pPr>
              <w:spacing w:after="0"/>
            </w:pPr>
            <w:r/>
            <w:r>
              <w:rPr>
                <w:rFonts w:ascii="Arial" w:hAnsi="Arial"/>
                <w:b w:val="0"/>
                <w:sz w:val="17"/>
              </w:rPr>
              <w:t>Optional pre-dispersion of AgNPs only; should be avoided or kept very mild after antibody addition.</w:t>
            </w:r>
          </w:p>
        </w:tc>
      </w:tr>
      <w:tr>
        <w:tc>
          <w:tcPr>
            <w:tcW w:type="dxa" w:w="5112"/>
            <w:vAlign w:val="top"/>
          </w:tcPr>
          <w:p>
            <w:pPr>
              <w:spacing w:after="0"/>
            </w:pPr>
            <w:r/>
            <w:r>
              <w:rPr>
                <w:rFonts w:ascii="Arial" w:hAnsi="Arial"/>
                <w:b w:val="0"/>
                <w:sz w:val="17"/>
              </w:rPr>
              <w:t>Environment Sensors</w:t>
            </w:r>
          </w:p>
        </w:tc>
        <w:tc>
          <w:tcPr>
            <w:tcW w:type="dxa" w:w="5112"/>
            <w:vAlign w:val="top"/>
          </w:tcPr>
          <w:p>
            <w:pPr>
              <w:spacing w:after="0"/>
            </w:pPr>
            <w:r/>
            <w:r>
              <w:rPr>
                <w:rFonts w:ascii="Arial" w:hAnsi="Arial"/>
                <w:b w:val="0"/>
                <w:sz w:val="17"/>
              </w:rPr>
              <w:t>Ambient chamber condition recording for batch documentation.</w:t>
            </w:r>
          </w:p>
        </w:tc>
      </w:tr>
      <w:tr>
        <w:tc>
          <w:tcPr>
            <w:tcW w:type="dxa" w:w="5112"/>
            <w:vAlign w:val="top"/>
          </w:tcPr>
          <w:p>
            <w:pPr>
              <w:spacing w:after="0"/>
            </w:pPr>
            <w:r/>
            <w:r>
              <w:rPr>
                <w:rFonts w:ascii="Arial" w:hAnsi="Arial"/>
                <w:b w:val="0"/>
                <w:sz w:val="17"/>
              </w:rPr>
              <w:t>Exhaust</w:t>
            </w:r>
          </w:p>
        </w:tc>
        <w:tc>
          <w:tcPr>
            <w:tcW w:type="dxa" w:w="5112"/>
            <w:vAlign w:val="top"/>
          </w:tcPr>
          <w:p>
            <w:pPr>
              <w:spacing w:after="0"/>
            </w:pPr>
            <w:r/>
            <w:r>
              <w:rPr>
                <w:rFonts w:ascii="Arial" w:hAnsi="Arial"/>
                <w:b w:val="0"/>
                <w:sz w:val="17"/>
              </w:rPr>
              <w:t>Airflow support during handling where required.</w:t>
            </w:r>
          </w:p>
        </w:tc>
      </w:tr>
    </w:tbl>
    <w:p/>
    <w:p>
      <w:pPr>
        <w:pStyle w:val="Heading1"/>
        <w:spacing w:before="160" w:after="80"/>
      </w:pPr>
      <w:r>
        <w:t>10. Key Formulation and Process Variables</w:t>
      </w:r>
    </w:p>
    <w:p>
      <w:pPr>
        <w:spacing w:after="120" w:line="252" w:lineRule="auto"/>
      </w:pPr>
      <w:r>
        <w:rPr>
          <w:rFonts w:ascii="Arial" w:hAnsi="Arial"/>
          <w:b w:val="0"/>
          <w:i w:val="0"/>
          <w:sz w:val="20"/>
        </w:rPr>
        <w:t>The quality of an AgNP-antibody conjugate depends on both material variables and process variables. Protoly can help record these variables and compare different preparation conditions.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Variable</w:t>
            </w:r>
          </w:p>
        </w:tc>
        <w:tc>
          <w:tcPr>
            <w:tcW w:type="dxa" w:w="5112"/>
            <w:shd w:fill="D9EAF7"/>
            <w:vAlign w:val="center"/>
          </w:tcPr>
          <w:p>
            <w:pPr>
              <w:spacing w:after="0"/>
            </w:pPr>
            <w:r/>
            <w:r>
              <w:rPr>
                <w:rFonts w:ascii="Arial" w:hAnsi="Arial"/>
                <w:b/>
                <w:sz w:val="17"/>
              </w:rPr>
              <w:t>Why it matters</w:t>
            </w:r>
          </w:p>
        </w:tc>
      </w:tr>
      <w:tr>
        <w:tc>
          <w:tcPr>
            <w:tcW w:type="dxa" w:w="5112"/>
            <w:vAlign w:val="top"/>
          </w:tcPr>
          <w:p>
            <w:pPr>
              <w:spacing w:after="0"/>
            </w:pPr>
            <w:r/>
            <w:r>
              <w:rPr>
                <w:rFonts w:ascii="Arial" w:hAnsi="Arial"/>
                <w:b w:val="0"/>
                <w:sz w:val="17"/>
              </w:rPr>
              <w:t>AgNP size and concentration</w:t>
            </w:r>
          </w:p>
        </w:tc>
        <w:tc>
          <w:tcPr>
            <w:tcW w:type="dxa" w:w="5112"/>
            <w:vAlign w:val="top"/>
          </w:tcPr>
          <w:p>
            <w:pPr>
              <w:spacing w:after="0"/>
            </w:pPr>
            <w:r/>
            <w:r>
              <w:rPr>
                <w:rFonts w:ascii="Arial" w:hAnsi="Arial"/>
                <w:b w:val="0"/>
                <w:sz w:val="17"/>
              </w:rPr>
              <w:t>Affects surface area, color, stability, and antibody loading.</w:t>
            </w:r>
          </w:p>
        </w:tc>
      </w:tr>
      <w:tr>
        <w:tc>
          <w:tcPr>
            <w:tcW w:type="dxa" w:w="5112"/>
            <w:vAlign w:val="top"/>
          </w:tcPr>
          <w:p>
            <w:pPr>
              <w:spacing w:after="0"/>
            </w:pPr>
            <w:r/>
            <w:r>
              <w:rPr>
                <w:rFonts w:ascii="Arial" w:hAnsi="Arial"/>
                <w:b w:val="0"/>
                <w:sz w:val="17"/>
              </w:rPr>
              <w:t>AgNP surface coating</w:t>
            </w:r>
          </w:p>
        </w:tc>
        <w:tc>
          <w:tcPr>
            <w:tcW w:type="dxa" w:w="5112"/>
            <w:vAlign w:val="top"/>
          </w:tcPr>
          <w:p>
            <w:pPr>
              <w:spacing w:after="0"/>
            </w:pPr>
            <w:r/>
            <w:r>
              <w:rPr>
                <w:rFonts w:ascii="Arial" w:hAnsi="Arial"/>
                <w:b w:val="0"/>
                <w:sz w:val="17"/>
              </w:rPr>
              <w:t>Controls colloidal stability and antibody attachment route.</w:t>
            </w:r>
          </w:p>
        </w:tc>
      </w:tr>
      <w:tr>
        <w:tc>
          <w:tcPr>
            <w:tcW w:type="dxa" w:w="5112"/>
            <w:vAlign w:val="top"/>
          </w:tcPr>
          <w:p>
            <w:pPr>
              <w:spacing w:after="0"/>
            </w:pPr>
            <w:r/>
            <w:r>
              <w:rPr>
                <w:rFonts w:ascii="Arial" w:hAnsi="Arial"/>
                <w:b w:val="0"/>
                <w:sz w:val="17"/>
              </w:rPr>
              <w:t>Antibody concentration</w:t>
            </w:r>
          </w:p>
        </w:tc>
        <w:tc>
          <w:tcPr>
            <w:tcW w:type="dxa" w:w="5112"/>
            <w:vAlign w:val="top"/>
          </w:tcPr>
          <w:p>
            <w:pPr>
              <w:spacing w:after="0"/>
            </w:pPr>
            <w:r/>
            <w:r>
              <w:rPr>
                <w:rFonts w:ascii="Arial" w:hAnsi="Arial"/>
                <w:b w:val="0"/>
                <w:sz w:val="17"/>
              </w:rPr>
              <w:t>Determines coverage, binding signal, and background.</w:t>
            </w:r>
          </w:p>
        </w:tc>
      </w:tr>
      <w:tr>
        <w:tc>
          <w:tcPr>
            <w:tcW w:type="dxa" w:w="5112"/>
            <w:vAlign w:val="top"/>
          </w:tcPr>
          <w:p>
            <w:pPr>
              <w:spacing w:after="0"/>
            </w:pPr>
            <w:r/>
            <w:r>
              <w:rPr>
                <w:rFonts w:ascii="Arial" w:hAnsi="Arial"/>
                <w:b w:val="0"/>
                <w:sz w:val="17"/>
              </w:rPr>
              <w:t>Buffer type and ionic strength</w:t>
            </w:r>
          </w:p>
        </w:tc>
        <w:tc>
          <w:tcPr>
            <w:tcW w:type="dxa" w:w="5112"/>
            <w:vAlign w:val="top"/>
          </w:tcPr>
          <w:p>
            <w:pPr>
              <w:spacing w:after="0"/>
            </w:pPr>
            <w:r/>
            <w:r>
              <w:rPr>
                <w:rFonts w:ascii="Arial" w:hAnsi="Arial"/>
                <w:b w:val="0"/>
                <w:sz w:val="17"/>
              </w:rPr>
              <w:t>Strongly affects aggregation and antibody stability.</w:t>
            </w:r>
          </w:p>
        </w:tc>
      </w:tr>
      <w:tr>
        <w:tc>
          <w:tcPr>
            <w:tcW w:type="dxa" w:w="5112"/>
            <w:vAlign w:val="top"/>
          </w:tcPr>
          <w:p>
            <w:pPr>
              <w:spacing w:after="0"/>
            </w:pPr>
            <w:r/>
            <w:r>
              <w:rPr>
                <w:rFonts w:ascii="Arial" w:hAnsi="Arial"/>
                <w:b w:val="0"/>
                <w:sz w:val="17"/>
              </w:rPr>
              <w:t>pH condition</w:t>
            </w:r>
          </w:p>
        </w:tc>
        <w:tc>
          <w:tcPr>
            <w:tcW w:type="dxa" w:w="5112"/>
            <w:vAlign w:val="top"/>
          </w:tcPr>
          <w:p>
            <w:pPr>
              <w:spacing w:after="0"/>
            </w:pPr>
            <w:r/>
            <w:r>
              <w:rPr>
                <w:rFonts w:ascii="Arial" w:hAnsi="Arial"/>
                <w:b w:val="0"/>
                <w:sz w:val="17"/>
              </w:rPr>
              <w:t>Influences both AgNP surface charge and antibody structure.</w:t>
            </w:r>
          </w:p>
        </w:tc>
      </w:tr>
      <w:tr>
        <w:tc>
          <w:tcPr>
            <w:tcW w:type="dxa" w:w="5112"/>
            <w:vAlign w:val="top"/>
          </w:tcPr>
          <w:p>
            <w:pPr>
              <w:spacing w:after="0"/>
            </w:pPr>
            <w:r/>
            <w:r>
              <w:rPr>
                <w:rFonts w:ascii="Arial" w:hAnsi="Arial"/>
                <w:b w:val="0"/>
                <w:sz w:val="17"/>
              </w:rPr>
              <w:t>Incubation time</w:t>
            </w:r>
          </w:p>
        </w:tc>
        <w:tc>
          <w:tcPr>
            <w:tcW w:type="dxa" w:w="5112"/>
            <w:vAlign w:val="top"/>
          </w:tcPr>
          <w:p>
            <w:pPr>
              <w:spacing w:after="0"/>
            </w:pPr>
            <w:r/>
            <w:r>
              <w:rPr>
                <w:rFonts w:ascii="Arial" w:hAnsi="Arial"/>
                <w:b w:val="0"/>
                <w:sz w:val="17"/>
              </w:rPr>
              <w:t>Affects antibody association and surface equilibrium.</w:t>
            </w:r>
          </w:p>
        </w:tc>
      </w:tr>
      <w:tr>
        <w:tc>
          <w:tcPr>
            <w:tcW w:type="dxa" w:w="5112"/>
            <w:vAlign w:val="top"/>
          </w:tcPr>
          <w:p>
            <w:pPr>
              <w:spacing w:after="0"/>
            </w:pPr>
            <w:r/>
            <w:r>
              <w:rPr>
                <w:rFonts w:ascii="Arial" w:hAnsi="Arial"/>
                <w:b w:val="0"/>
                <w:sz w:val="17"/>
              </w:rPr>
              <w:t>Mixing speed</w:t>
            </w:r>
          </w:p>
        </w:tc>
        <w:tc>
          <w:tcPr>
            <w:tcW w:type="dxa" w:w="5112"/>
            <w:vAlign w:val="top"/>
          </w:tcPr>
          <w:p>
            <w:pPr>
              <w:spacing w:after="0"/>
            </w:pPr>
            <w:r/>
            <w:r>
              <w:rPr>
                <w:rFonts w:ascii="Arial" w:hAnsi="Arial"/>
                <w:b w:val="0"/>
                <w:sz w:val="17"/>
              </w:rPr>
              <w:t>Too low may reduce contact; too high may generate foam or stress.</w:t>
            </w:r>
          </w:p>
        </w:tc>
      </w:tr>
      <w:tr>
        <w:tc>
          <w:tcPr>
            <w:tcW w:type="dxa" w:w="5112"/>
            <w:vAlign w:val="top"/>
          </w:tcPr>
          <w:p>
            <w:pPr>
              <w:spacing w:after="0"/>
            </w:pPr>
            <w:r/>
            <w:r>
              <w:rPr>
                <w:rFonts w:ascii="Arial" w:hAnsi="Arial"/>
                <w:b w:val="0"/>
                <w:sz w:val="17"/>
              </w:rPr>
              <w:t>Blocking reagent</w:t>
            </w:r>
          </w:p>
        </w:tc>
        <w:tc>
          <w:tcPr>
            <w:tcW w:type="dxa" w:w="5112"/>
            <w:vAlign w:val="top"/>
          </w:tcPr>
          <w:p>
            <w:pPr>
              <w:spacing w:after="0"/>
            </w:pPr>
            <w:r/>
            <w:r>
              <w:rPr>
                <w:rFonts w:ascii="Arial" w:hAnsi="Arial"/>
                <w:b w:val="0"/>
                <w:sz w:val="17"/>
              </w:rPr>
              <w:t>Reduces non-specific binding and improves assay behaviour.</w:t>
            </w:r>
          </w:p>
        </w:tc>
      </w:tr>
      <w:tr>
        <w:tc>
          <w:tcPr>
            <w:tcW w:type="dxa" w:w="5112"/>
            <w:vAlign w:val="top"/>
          </w:tcPr>
          <w:p>
            <w:pPr>
              <w:spacing w:after="0"/>
            </w:pPr>
            <w:r/>
            <w:r>
              <w:rPr>
                <w:rFonts w:ascii="Arial" w:hAnsi="Arial"/>
                <w:b w:val="0"/>
                <w:sz w:val="17"/>
              </w:rPr>
              <w:t>Storage medium</w:t>
            </w:r>
          </w:p>
        </w:tc>
        <w:tc>
          <w:tcPr>
            <w:tcW w:type="dxa" w:w="5112"/>
            <w:vAlign w:val="top"/>
          </w:tcPr>
          <w:p>
            <w:pPr>
              <w:spacing w:after="0"/>
            </w:pPr>
            <w:r/>
            <w:r>
              <w:rPr>
                <w:rFonts w:ascii="Arial" w:hAnsi="Arial"/>
                <w:b w:val="0"/>
                <w:sz w:val="17"/>
              </w:rPr>
              <w:t>Influences colloidal stability and antibody activity over time.</w:t>
            </w:r>
          </w:p>
        </w:tc>
      </w:tr>
    </w:tbl>
    <w:p/>
    <w:p>
      <w:pPr>
        <w:pStyle w:val="Heading1"/>
        <w:spacing w:before="160" w:after="80"/>
      </w:pPr>
      <w:r>
        <w:t>11. Suggested Experimental Variants</w:t>
      </w:r>
    </w:p>
    <w:p>
      <w:pPr>
        <w:spacing w:after="120" w:line="252" w:lineRule="auto"/>
      </w:pPr>
      <w:r>
        <w:rPr>
          <w:rFonts w:ascii="Arial" w:hAnsi="Arial"/>
          <w:b w:val="0"/>
          <w:i w:val="0"/>
          <w:sz w:val="20"/>
        </w:rPr>
        <w:t>The same base workflow can be used for multiple formulation or process comparison studies. These variants are useful for webinar demonstrations, student training, or early method optimization.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Variant</w:t>
            </w:r>
          </w:p>
        </w:tc>
        <w:tc>
          <w:tcPr>
            <w:tcW w:type="dxa" w:w="5112"/>
            <w:shd w:fill="D9EAF7"/>
            <w:vAlign w:val="center"/>
          </w:tcPr>
          <w:p>
            <w:pPr>
              <w:spacing w:after="0"/>
            </w:pPr>
            <w:r/>
            <w:r>
              <w:rPr>
                <w:rFonts w:ascii="Arial" w:hAnsi="Arial"/>
                <w:b/>
                <w:sz w:val="17"/>
              </w:rPr>
              <w:t>Purpose</w:t>
            </w:r>
          </w:p>
        </w:tc>
      </w:tr>
      <w:tr>
        <w:tc>
          <w:tcPr>
            <w:tcW w:type="dxa" w:w="5112"/>
            <w:vAlign w:val="top"/>
          </w:tcPr>
          <w:p>
            <w:pPr>
              <w:spacing w:after="0"/>
            </w:pPr>
            <w:r/>
            <w:r>
              <w:rPr>
                <w:rFonts w:ascii="Arial" w:hAnsi="Arial"/>
                <w:b w:val="0"/>
                <w:sz w:val="17"/>
              </w:rPr>
              <w:t>Different antibody volumes</w:t>
            </w:r>
          </w:p>
        </w:tc>
        <w:tc>
          <w:tcPr>
            <w:tcW w:type="dxa" w:w="5112"/>
            <w:vAlign w:val="top"/>
          </w:tcPr>
          <w:p>
            <w:pPr>
              <w:spacing w:after="0"/>
            </w:pPr>
            <w:r/>
            <w:r>
              <w:rPr>
                <w:rFonts w:ascii="Arial" w:hAnsi="Arial"/>
                <w:b w:val="0"/>
                <w:sz w:val="17"/>
              </w:rPr>
              <w:t>Identify conditions that avoid aggregation while improving binding response.</w:t>
            </w:r>
          </w:p>
        </w:tc>
      </w:tr>
      <w:tr>
        <w:tc>
          <w:tcPr>
            <w:tcW w:type="dxa" w:w="5112"/>
            <w:vAlign w:val="top"/>
          </w:tcPr>
          <w:p>
            <w:pPr>
              <w:spacing w:after="0"/>
            </w:pPr>
            <w:r/>
            <w:r>
              <w:rPr>
                <w:rFonts w:ascii="Arial" w:hAnsi="Arial"/>
                <w:b w:val="0"/>
                <w:sz w:val="17"/>
              </w:rPr>
              <w:t>Different incubation times</w:t>
            </w:r>
          </w:p>
        </w:tc>
        <w:tc>
          <w:tcPr>
            <w:tcW w:type="dxa" w:w="5112"/>
            <w:vAlign w:val="top"/>
          </w:tcPr>
          <w:p>
            <w:pPr>
              <w:spacing w:after="0"/>
            </w:pPr>
            <w:r/>
            <w:r>
              <w:rPr>
                <w:rFonts w:ascii="Arial" w:hAnsi="Arial"/>
                <w:b w:val="0"/>
                <w:sz w:val="17"/>
              </w:rPr>
              <w:t>Compare short and long conjugation periods.</w:t>
            </w:r>
          </w:p>
        </w:tc>
      </w:tr>
      <w:tr>
        <w:tc>
          <w:tcPr>
            <w:tcW w:type="dxa" w:w="5112"/>
            <w:vAlign w:val="top"/>
          </w:tcPr>
          <w:p>
            <w:pPr>
              <w:spacing w:after="0"/>
            </w:pPr>
            <w:r/>
            <w:r>
              <w:rPr>
                <w:rFonts w:ascii="Arial" w:hAnsi="Arial"/>
                <w:b w:val="0"/>
                <w:sz w:val="17"/>
              </w:rPr>
              <w:t>Different blocker types</w:t>
            </w:r>
          </w:p>
        </w:tc>
        <w:tc>
          <w:tcPr>
            <w:tcW w:type="dxa" w:w="5112"/>
            <w:vAlign w:val="top"/>
          </w:tcPr>
          <w:p>
            <w:pPr>
              <w:spacing w:after="0"/>
            </w:pPr>
            <w:r/>
            <w:r>
              <w:rPr>
                <w:rFonts w:ascii="Arial" w:hAnsi="Arial"/>
                <w:b w:val="0"/>
                <w:sz w:val="17"/>
              </w:rPr>
              <w:t>Evaluate BSA, casein, PEG, or sugar-based stabilizers.</w:t>
            </w:r>
          </w:p>
        </w:tc>
      </w:tr>
      <w:tr>
        <w:tc>
          <w:tcPr>
            <w:tcW w:type="dxa" w:w="5112"/>
            <w:vAlign w:val="top"/>
          </w:tcPr>
          <w:p>
            <w:pPr>
              <w:spacing w:after="0"/>
            </w:pPr>
            <w:r/>
            <w:r>
              <w:rPr>
                <w:rFonts w:ascii="Arial" w:hAnsi="Arial"/>
                <w:b w:val="0"/>
                <w:sz w:val="17"/>
              </w:rPr>
              <w:t>Different buffer conditions</w:t>
            </w:r>
          </w:p>
        </w:tc>
        <w:tc>
          <w:tcPr>
            <w:tcW w:type="dxa" w:w="5112"/>
            <w:vAlign w:val="top"/>
          </w:tcPr>
          <w:p>
            <w:pPr>
              <w:spacing w:after="0"/>
            </w:pPr>
            <w:r/>
            <w:r>
              <w:rPr>
                <w:rFonts w:ascii="Arial" w:hAnsi="Arial"/>
                <w:b w:val="0"/>
                <w:sz w:val="17"/>
              </w:rPr>
              <w:t>Study the effect of pH and ionic strength externally.</w:t>
            </w:r>
          </w:p>
        </w:tc>
      </w:tr>
      <w:tr>
        <w:tc>
          <w:tcPr>
            <w:tcW w:type="dxa" w:w="5112"/>
            <w:vAlign w:val="top"/>
          </w:tcPr>
          <w:p>
            <w:pPr>
              <w:spacing w:after="0"/>
            </w:pPr>
            <w:r/>
            <w:r>
              <w:rPr>
                <w:rFonts w:ascii="Arial" w:hAnsi="Arial"/>
                <w:b w:val="0"/>
                <w:sz w:val="17"/>
              </w:rPr>
              <w:t>Different AgNP batches</w:t>
            </w:r>
          </w:p>
        </w:tc>
        <w:tc>
          <w:tcPr>
            <w:tcW w:type="dxa" w:w="5112"/>
            <w:vAlign w:val="top"/>
          </w:tcPr>
          <w:p>
            <w:pPr>
              <w:spacing w:after="0"/>
            </w:pPr>
            <w:r/>
            <w:r>
              <w:rPr>
                <w:rFonts w:ascii="Arial" w:hAnsi="Arial"/>
                <w:b w:val="0"/>
                <w:sz w:val="17"/>
              </w:rPr>
              <w:t>Compare particle stability and conjugation behaviour.</w:t>
            </w:r>
          </w:p>
        </w:tc>
      </w:tr>
      <w:tr>
        <w:tc>
          <w:tcPr>
            <w:tcW w:type="dxa" w:w="5112"/>
            <w:vAlign w:val="top"/>
          </w:tcPr>
          <w:p>
            <w:pPr>
              <w:spacing w:after="0"/>
            </w:pPr>
            <w:r/>
            <w:r>
              <w:rPr>
                <w:rFonts w:ascii="Arial" w:hAnsi="Arial"/>
                <w:b w:val="0"/>
                <w:sz w:val="17"/>
              </w:rPr>
              <w:t>Control without antibody</w:t>
            </w:r>
          </w:p>
        </w:tc>
        <w:tc>
          <w:tcPr>
            <w:tcW w:type="dxa" w:w="5112"/>
            <w:vAlign w:val="top"/>
          </w:tcPr>
          <w:p>
            <w:pPr>
              <w:spacing w:after="0"/>
            </w:pPr>
            <w:r/>
            <w:r>
              <w:rPr>
                <w:rFonts w:ascii="Arial" w:hAnsi="Arial"/>
                <w:b w:val="0"/>
                <w:sz w:val="17"/>
              </w:rPr>
              <w:t>Check baseline nanoparticle stability.</w:t>
            </w:r>
          </w:p>
        </w:tc>
      </w:tr>
      <w:tr>
        <w:tc>
          <w:tcPr>
            <w:tcW w:type="dxa" w:w="5112"/>
            <w:vAlign w:val="top"/>
          </w:tcPr>
          <w:p>
            <w:pPr>
              <w:spacing w:after="0"/>
            </w:pPr>
            <w:r/>
            <w:r>
              <w:rPr>
                <w:rFonts w:ascii="Arial" w:hAnsi="Arial"/>
                <w:b w:val="0"/>
                <w:sz w:val="17"/>
              </w:rPr>
              <w:t>Control without antigen binding</w:t>
            </w:r>
          </w:p>
        </w:tc>
        <w:tc>
          <w:tcPr>
            <w:tcW w:type="dxa" w:w="5112"/>
            <w:vAlign w:val="top"/>
          </w:tcPr>
          <w:p>
            <w:pPr>
              <w:spacing w:after="0"/>
            </w:pPr>
            <w:r/>
            <w:r>
              <w:rPr>
                <w:rFonts w:ascii="Arial" w:hAnsi="Arial"/>
                <w:b w:val="0"/>
                <w:sz w:val="17"/>
              </w:rPr>
              <w:t>Identify non-specific signal in downstream assay.</w:t>
            </w:r>
          </w:p>
        </w:tc>
      </w:tr>
    </w:tbl>
    <w:p/>
    <w:p>
      <w:pPr>
        <w:pStyle w:val="Heading1"/>
        <w:spacing w:before="160" w:after="80"/>
      </w:pPr>
      <w:r>
        <w:t>12. Expected Visual Observations</w:t>
      </w:r>
    </w:p>
    <w:p>
      <w:pPr>
        <w:spacing w:after="120" w:line="252" w:lineRule="auto"/>
      </w:pPr>
      <w:r>
        <w:rPr>
          <w:rFonts w:ascii="Arial" w:hAnsi="Arial"/>
          <w:b w:val="0"/>
          <w:i w:val="0"/>
          <w:sz w:val="20"/>
        </w:rPr>
        <w:t>Visual observation is useful for preliminary screening but should not be treated as proof of successful antibody conjugation. Camera documentation can help identify gross instability, aggregation, or sedimentation.</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Observation</w:t>
            </w:r>
          </w:p>
        </w:tc>
        <w:tc>
          <w:tcPr>
            <w:tcW w:type="dxa" w:w="5112"/>
            <w:shd w:fill="D9EAF7"/>
            <w:vAlign w:val="center"/>
          </w:tcPr>
          <w:p>
            <w:pPr>
              <w:spacing w:after="0"/>
            </w:pPr>
            <w:r/>
            <w:r>
              <w:rPr>
                <w:rFonts w:ascii="Arial" w:hAnsi="Arial"/>
                <w:b/>
                <w:sz w:val="17"/>
              </w:rPr>
              <w:t>Possible interpretation</w:t>
            </w:r>
          </w:p>
        </w:tc>
      </w:tr>
      <w:tr>
        <w:tc>
          <w:tcPr>
            <w:tcW w:type="dxa" w:w="5112"/>
            <w:vAlign w:val="top"/>
          </w:tcPr>
          <w:p>
            <w:pPr>
              <w:spacing w:after="0"/>
            </w:pPr>
            <w:r/>
            <w:r>
              <w:rPr>
                <w:rFonts w:ascii="Arial" w:hAnsi="Arial"/>
                <w:b w:val="0"/>
                <w:sz w:val="17"/>
              </w:rPr>
              <w:t>Stable yellow-brown or characteristic AgNP color</w:t>
            </w:r>
          </w:p>
        </w:tc>
        <w:tc>
          <w:tcPr>
            <w:tcW w:type="dxa" w:w="5112"/>
            <w:vAlign w:val="top"/>
          </w:tcPr>
          <w:p>
            <w:pPr>
              <w:spacing w:after="0"/>
            </w:pPr>
            <w:r/>
            <w:r>
              <w:rPr>
                <w:rFonts w:ascii="Arial" w:hAnsi="Arial"/>
                <w:b w:val="0"/>
                <w:sz w:val="17"/>
              </w:rPr>
              <w:t>Dispersion may remain colloidally stable.</w:t>
            </w:r>
          </w:p>
        </w:tc>
      </w:tr>
      <w:tr>
        <w:tc>
          <w:tcPr>
            <w:tcW w:type="dxa" w:w="5112"/>
            <w:vAlign w:val="top"/>
          </w:tcPr>
          <w:p>
            <w:pPr>
              <w:spacing w:after="0"/>
            </w:pPr>
            <w:r/>
            <w:r>
              <w:rPr>
                <w:rFonts w:ascii="Arial" w:hAnsi="Arial"/>
                <w:b w:val="0"/>
                <w:sz w:val="17"/>
              </w:rPr>
              <w:t>Gradual color shift</w:t>
            </w:r>
          </w:p>
        </w:tc>
        <w:tc>
          <w:tcPr>
            <w:tcW w:type="dxa" w:w="5112"/>
            <w:vAlign w:val="top"/>
          </w:tcPr>
          <w:p>
            <w:pPr>
              <w:spacing w:after="0"/>
            </w:pPr>
            <w:r/>
            <w:r>
              <w:rPr>
                <w:rFonts w:ascii="Arial" w:hAnsi="Arial"/>
                <w:b w:val="0"/>
                <w:sz w:val="17"/>
              </w:rPr>
              <w:t>Possible surface change, aggregation, or environmental effect; requires analysis.</w:t>
            </w:r>
          </w:p>
        </w:tc>
      </w:tr>
      <w:tr>
        <w:tc>
          <w:tcPr>
            <w:tcW w:type="dxa" w:w="5112"/>
            <w:vAlign w:val="top"/>
          </w:tcPr>
          <w:p>
            <w:pPr>
              <w:spacing w:after="0"/>
            </w:pPr>
            <w:r/>
            <w:r>
              <w:rPr>
                <w:rFonts w:ascii="Arial" w:hAnsi="Arial"/>
                <w:b w:val="0"/>
                <w:sz w:val="17"/>
              </w:rPr>
              <w:t>Visible sediment</w:t>
            </w:r>
          </w:p>
        </w:tc>
        <w:tc>
          <w:tcPr>
            <w:tcW w:type="dxa" w:w="5112"/>
            <w:vAlign w:val="top"/>
          </w:tcPr>
          <w:p>
            <w:pPr>
              <w:spacing w:after="0"/>
            </w:pPr>
            <w:r/>
            <w:r>
              <w:rPr>
                <w:rFonts w:ascii="Arial" w:hAnsi="Arial"/>
                <w:b w:val="0"/>
                <w:sz w:val="17"/>
              </w:rPr>
              <w:t>Aggregation or poor stabilization.</w:t>
            </w:r>
          </w:p>
        </w:tc>
      </w:tr>
      <w:tr>
        <w:tc>
          <w:tcPr>
            <w:tcW w:type="dxa" w:w="5112"/>
            <w:vAlign w:val="top"/>
          </w:tcPr>
          <w:p>
            <w:pPr>
              <w:spacing w:after="0"/>
            </w:pPr>
            <w:r/>
            <w:r>
              <w:rPr>
                <w:rFonts w:ascii="Arial" w:hAnsi="Arial"/>
                <w:b w:val="0"/>
                <w:sz w:val="17"/>
              </w:rPr>
              <w:t>Rapid darkening or clumping</w:t>
            </w:r>
          </w:p>
        </w:tc>
        <w:tc>
          <w:tcPr>
            <w:tcW w:type="dxa" w:w="5112"/>
            <w:vAlign w:val="top"/>
          </w:tcPr>
          <w:p>
            <w:pPr>
              <w:spacing w:after="0"/>
            </w:pPr>
            <w:r/>
            <w:r>
              <w:rPr>
                <w:rFonts w:ascii="Arial" w:hAnsi="Arial"/>
                <w:b w:val="0"/>
                <w:sz w:val="17"/>
              </w:rPr>
              <w:t>Possible buffer incompatibility or excessive antibody/stabilizer.</w:t>
            </w:r>
          </w:p>
        </w:tc>
      </w:tr>
      <w:tr>
        <w:tc>
          <w:tcPr>
            <w:tcW w:type="dxa" w:w="5112"/>
            <w:vAlign w:val="top"/>
          </w:tcPr>
          <w:p>
            <w:pPr>
              <w:spacing w:after="0"/>
            </w:pPr>
            <w:r/>
            <w:r>
              <w:rPr>
                <w:rFonts w:ascii="Arial" w:hAnsi="Arial"/>
                <w:b w:val="0"/>
                <w:sz w:val="17"/>
              </w:rPr>
              <w:t>Foam formation</w:t>
            </w:r>
          </w:p>
        </w:tc>
        <w:tc>
          <w:tcPr>
            <w:tcW w:type="dxa" w:w="5112"/>
            <w:vAlign w:val="top"/>
          </w:tcPr>
          <w:p>
            <w:pPr>
              <w:spacing w:after="0"/>
            </w:pPr>
            <w:r/>
            <w:r>
              <w:rPr>
                <w:rFonts w:ascii="Arial" w:hAnsi="Arial"/>
                <w:b w:val="0"/>
                <w:sz w:val="17"/>
              </w:rPr>
              <w:t>Excessive mixing or protein-containing reagent agitation.</w:t>
            </w:r>
          </w:p>
        </w:tc>
      </w:tr>
      <w:tr>
        <w:tc>
          <w:tcPr>
            <w:tcW w:type="dxa" w:w="5112"/>
            <w:vAlign w:val="top"/>
          </w:tcPr>
          <w:p>
            <w:pPr>
              <w:spacing w:after="0"/>
            </w:pPr>
            <w:r/>
            <w:r>
              <w:rPr>
                <w:rFonts w:ascii="Arial" w:hAnsi="Arial"/>
                <w:b w:val="0"/>
                <w:sz w:val="17"/>
              </w:rPr>
              <w:t>No visible change</w:t>
            </w:r>
          </w:p>
        </w:tc>
        <w:tc>
          <w:tcPr>
            <w:tcW w:type="dxa" w:w="5112"/>
            <w:vAlign w:val="top"/>
          </w:tcPr>
          <w:p>
            <w:pPr>
              <w:spacing w:after="0"/>
            </w:pPr>
            <w:r/>
            <w:r>
              <w:rPr>
                <w:rFonts w:ascii="Arial" w:hAnsi="Arial"/>
                <w:b w:val="0"/>
                <w:sz w:val="17"/>
              </w:rPr>
              <w:t>Could still be successful; conjugation must be confirmed analytically.</w:t>
            </w:r>
          </w:p>
        </w:tc>
      </w:tr>
    </w:tbl>
    <w:p/>
    <w:p>
      <w:pPr>
        <w:pStyle w:val="Heading1"/>
        <w:spacing w:before="160" w:after="80"/>
      </w:pPr>
      <w:r>
        <w:t>13. Suggested Batch Record Format</w:t>
      </w:r>
    </w:p>
    <w:p>
      <w:pPr>
        <w:spacing w:after="120" w:line="252" w:lineRule="auto"/>
      </w:pPr>
      <w:r>
        <w:rPr>
          <w:rFonts w:ascii="Arial" w:hAnsi="Arial"/>
          <w:b w:val="0"/>
          <w:i w:val="0"/>
          <w:sz w:val="20"/>
        </w:rPr>
        <w:t>A structured batch record makes it easier to compare probe preparation conditions. The following format can be used in supporting data or future records.</w:t>
      </w:r>
    </w:p>
    <w:tbl>
      <w:tblPr>
        <w:tblStyle w:val="TableGrid"/>
        <w:tblW w:type="auto" w:w="0"/>
        <w:jc w:val="center"/>
        <w:tblLook w:firstColumn="1" w:firstRow="1" w:lastColumn="0" w:lastRow="0" w:noHBand="0" w:noVBand="1" w:val="04A0"/>
      </w:tblPr>
      <w:tblGrid>
        <w:gridCol w:w="1278"/>
        <w:gridCol w:w="1278"/>
        <w:gridCol w:w="1278"/>
        <w:gridCol w:w="1278"/>
        <w:gridCol w:w="1278"/>
        <w:gridCol w:w="1278"/>
        <w:gridCol w:w="1278"/>
        <w:gridCol w:w="1278"/>
      </w:tblGrid>
      <w:tr>
        <w:tc>
          <w:tcPr>
            <w:tcW w:type="dxa" w:w="1080"/>
            <w:shd w:fill="D9EAF7"/>
            <w:vAlign w:val="center"/>
          </w:tcPr>
          <w:p>
            <w:pPr>
              <w:spacing w:after="0"/>
            </w:pPr>
            <w:r/>
            <w:r>
              <w:rPr>
                <w:rFonts w:ascii="Arial" w:hAnsi="Arial"/>
                <w:b/>
                <w:sz w:val="17"/>
              </w:rPr>
              <w:t>Batch ID</w:t>
            </w:r>
          </w:p>
        </w:tc>
        <w:tc>
          <w:tcPr>
            <w:tcW w:type="dxa" w:w="1008"/>
            <w:shd w:fill="D9EAF7"/>
            <w:vAlign w:val="center"/>
          </w:tcPr>
          <w:p>
            <w:pPr>
              <w:spacing w:after="0"/>
            </w:pPr>
            <w:r/>
            <w:r>
              <w:rPr>
                <w:rFonts w:ascii="Arial" w:hAnsi="Arial"/>
                <w:b/>
                <w:sz w:val="17"/>
              </w:rPr>
              <w:t>AgNP Vol.</w:t>
            </w:r>
          </w:p>
        </w:tc>
        <w:tc>
          <w:tcPr>
            <w:tcW w:type="dxa" w:w="1224"/>
            <w:shd w:fill="D9EAF7"/>
            <w:vAlign w:val="center"/>
          </w:tcPr>
          <w:p>
            <w:pPr>
              <w:spacing w:after="0"/>
            </w:pPr>
            <w:r/>
            <w:r>
              <w:rPr>
                <w:rFonts w:ascii="Arial" w:hAnsi="Arial"/>
                <w:b/>
                <w:sz w:val="17"/>
              </w:rPr>
              <w:t>Antibody Vol.</w:t>
            </w:r>
          </w:p>
        </w:tc>
        <w:tc>
          <w:tcPr>
            <w:tcW w:type="dxa" w:w="1224"/>
            <w:shd w:fill="D9EAF7"/>
            <w:vAlign w:val="center"/>
          </w:tcPr>
          <w:p>
            <w:pPr>
              <w:spacing w:after="0"/>
            </w:pPr>
            <w:r/>
            <w:r>
              <w:rPr>
                <w:rFonts w:ascii="Arial" w:hAnsi="Arial"/>
                <w:b/>
                <w:sz w:val="17"/>
              </w:rPr>
              <w:t>Buffer</w:t>
            </w:r>
          </w:p>
        </w:tc>
        <w:tc>
          <w:tcPr>
            <w:tcW w:type="dxa" w:w="1296"/>
            <w:shd w:fill="D9EAF7"/>
            <w:vAlign w:val="center"/>
          </w:tcPr>
          <w:p>
            <w:pPr>
              <w:spacing w:after="0"/>
            </w:pPr>
            <w:r/>
            <w:r>
              <w:rPr>
                <w:rFonts w:ascii="Arial" w:hAnsi="Arial"/>
                <w:b/>
                <w:sz w:val="17"/>
              </w:rPr>
              <w:t>Stabilizer</w:t>
            </w:r>
          </w:p>
        </w:tc>
        <w:tc>
          <w:tcPr>
            <w:tcW w:type="dxa" w:w="1224"/>
            <w:shd w:fill="D9EAF7"/>
            <w:vAlign w:val="center"/>
          </w:tcPr>
          <w:p>
            <w:pPr>
              <w:spacing w:after="0"/>
            </w:pPr>
            <w:r/>
            <w:r>
              <w:rPr>
                <w:rFonts w:ascii="Arial" w:hAnsi="Arial"/>
                <w:b/>
                <w:sz w:val="17"/>
              </w:rPr>
              <w:t>Incubation</w:t>
            </w:r>
          </w:p>
        </w:tc>
        <w:tc>
          <w:tcPr>
            <w:tcW w:type="dxa" w:w="1512"/>
            <w:shd w:fill="D9EAF7"/>
            <w:vAlign w:val="center"/>
          </w:tcPr>
          <w:p>
            <w:pPr>
              <w:spacing w:after="0"/>
            </w:pPr>
            <w:r/>
            <w:r>
              <w:rPr>
                <w:rFonts w:ascii="Arial" w:hAnsi="Arial"/>
                <w:b/>
                <w:sz w:val="17"/>
              </w:rPr>
              <w:t>Visual Result</w:t>
            </w:r>
          </w:p>
        </w:tc>
        <w:tc>
          <w:tcPr>
            <w:tcW w:type="dxa" w:w="2088"/>
            <w:shd w:fill="D9EAF7"/>
            <w:vAlign w:val="center"/>
          </w:tcPr>
          <w:p>
            <w:pPr>
              <w:spacing w:after="0"/>
            </w:pPr>
            <w:r/>
            <w:r>
              <w:rPr>
                <w:rFonts w:ascii="Arial" w:hAnsi="Arial"/>
                <w:b/>
                <w:sz w:val="17"/>
              </w:rPr>
              <w:t>Remarks</w:t>
            </w:r>
          </w:p>
        </w:tc>
      </w:tr>
      <w:tr>
        <w:tc>
          <w:tcPr>
            <w:tcW w:type="dxa" w:w="1080"/>
            <w:vAlign w:val="top"/>
          </w:tcPr>
          <w:p>
            <w:pPr>
              <w:spacing w:after="0"/>
            </w:pPr>
            <w:r/>
            <w:r>
              <w:rPr>
                <w:rFonts w:ascii="Arial" w:hAnsi="Arial"/>
                <w:b w:val="0"/>
                <w:sz w:val="17"/>
              </w:rPr>
              <w:t>AgAb-01</w:t>
            </w:r>
          </w:p>
        </w:tc>
        <w:tc>
          <w:tcPr>
            <w:tcW w:type="dxa" w:w="1008"/>
            <w:vAlign w:val="top"/>
          </w:tcPr>
          <w:p>
            <w:pPr>
              <w:spacing w:after="0"/>
            </w:pPr>
            <w:r/>
            <w:r>
              <w:rPr>
                <w:rFonts w:ascii="Arial" w:hAnsi="Arial"/>
                <w:b w:val="0"/>
                <w:sz w:val="17"/>
              </w:rPr>
              <w:t>100 uL</w:t>
            </w:r>
          </w:p>
        </w:tc>
        <w:tc>
          <w:tcPr>
            <w:tcW w:type="dxa" w:w="1224"/>
            <w:vAlign w:val="top"/>
          </w:tcPr>
          <w:p>
            <w:pPr>
              <w:spacing w:after="0"/>
            </w:pPr>
            <w:r/>
            <w:r>
              <w:rPr>
                <w:rFonts w:ascii="Arial" w:hAnsi="Arial"/>
                <w:b w:val="0"/>
                <w:sz w:val="17"/>
              </w:rPr>
              <w:t>10 uL</w:t>
            </w:r>
          </w:p>
        </w:tc>
        <w:tc>
          <w:tcPr>
            <w:tcW w:type="dxa" w:w="1224"/>
            <w:vAlign w:val="top"/>
          </w:tcPr>
          <w:p>
            <w:pPr>
              <w:spacing w:after="0"/>
            </w:pPr>
            <w:r/>
            <w:r>
              <w:rPr>
                <w:rFonts w:ascii="Arial" w:hAnsi="Arial"/>
                <w:b w:val="0"/>
                <w:sz w:val="17"/>
              </w:rPr>
              <w:t>Low salt</w:t>
            </w:r>
          </w:p>
        </w:tc>
        <w:tc>
          <w:tcPr>
            <w:tcW w:type="dxa" w:w="1296"/>
            <w:vAlign w:val="top"/>
          </w:tcPr>
          <w:p>
            <w:pPr>
              <w:spacing w:after="0"/>
            </w:pPr>
            <w:r/>
            <w:r>
              <w:rPr>
                <w:rFonts w:ascii="Arial" w:hAnsi="Arial"/>
                <w:b w:val="0"/>
                <w:sz w:val="17"/>
              </w:rPr>
              <w:t>BSA</w:t>
            </w:r>
          </w:p>
        </w:tc>
        <w:tc>
          <w:tcPr>
            <w:tcW w:type="dxa" w:w="1224"/>
            <w:vAlign w:val="top"/>
          </w:tcPr>
          <w:p>
            <w:pPr>
              <w:spacing w:after="0"/>
            </w:pPr>
            <w:r/>
            <w:r>
              <w:rPr>
                <w:rFonts w:ascii="Arial" w:hAnsi="Arial"/>
                <w:b w:val="0"/>
                <w:sz w:val="17"/>
              </w:rPr>
              <w:t>30 min</w:t>
            </w:r>
          </w:p>
        </w:tc>
        <w:tc>
          <w:tcPr>
            <w:tcW w:type="dxa" w:w="1512"/>
            <w:vAlign w:val="top"/>
          </w:tcPr>
          <w:p>
            <w:pPr>
              <w:spacing w:after="0"/>
            </w:pPr>
            <w:r/>
            <w:r>
              <w:rPr>
                <w:rFonts w:ascii="Arial" w:hAnsi="Arial"/>
                <w:b w:val="0"/>
                <w:sz w:val="17"/>
              </w:rPr>
              <w:t>Stable color</w:t>
            </w:r>
          </w:p>
        </w:tc>
        <w:tc>
          <w:tcPr>
            <w:tcW w:type="dxa" w:w="2088"/>
            <w:vAlign w:val="top"/>
          </w:tcPr>
          <w:p>
            <w:pPr>
              <w:spacing w:after="0"/>
            </w:pPr>
            <w:r/>
            <w:r>
              <w:rPr>
                <w:rFonts w:ascii="Arial" w:hAnsi="Arial"/>
                <w:b w:val="0"/>
                <w:sz w:val="17"/>
              </w:rPr>
              <w:t>Good initial condition.</w:t>
            </w:r>
          </w:p>
        </w:tc>
      </w:tr>
      <w:tr>
        <w:tc>
          <w:tcPr>
            <w:tcW w:type="dxa" w:w="1080"/>
            <w:vAlign w:val="top"/>
          </w:tcPr>
          <w:p>
            <w:pPr>
              <w:spacing w:after="0"/>
            </w:pPr>
            <w:r/>
            <w:r>
              <w:rPr>
                <w:rFonts w:ascii="Arial" w:hAnsi="Arial"/>
                <w:b w:val="0"/>
                <w:sz w:val="17"/>
              </w:rPr>
              <w:t>AgAb-02</w:t>
            </w:r>
          </w:p>
        </w:tc>
        <w:tc>
          <w:tcPr>
            <w:tcW w:type="dxa" w:w="1008"/>
            <w:vAlign w:val="top"/>
          </w:tcPr>
          <w:p>
            <w:pPr>
              <w:spacing w:after="0"/>
            </w:pPr>
            <w:r/>
            <w:r>
              <w:rPr>
                <w:rFonts w:ascii="Arial" w:hAnsi="Arial"/>
                <w:b w:val="0"/>
                <w:sz w:val="17"/>
              </w:rPr>
              <w:t>100 uL</w:t>
            </w:r>
          </w:p>
        </w:tc>
        <w:tc>
          <w:tcPr>
            <w:tcW w:type="dxa" w:w="1224"/>
            <w:vAlign w:val="top"/>
          </w:tcPr>
          <w:p>
            <w:pPr>
              <w:spacing w:after="0"/>
            </w:pPr>
            <w:r/>
            <w:r>
              <w:rPr>
                <w:rFonts w:ascii="Arial" w:hAnsi="Arial"/>
                <w:b w:val="0"/>
                <w:sz w:val="17"/>
              </w:rPr>
              <w:t>20 uL</w:t>
            </w:r>
          </w:p>
        </w:tc>
        <w:tc>
          <w:tcPr>
            <w:tcW w:type="dxa" w:w="1224"/>
            <w:vAlign w:val="top"/>
          </w:tcPr>
          <w:p>
            <w:pPr>
              <w:spacing w:after="0"/>
            </w:pPr>
            <w:r/>
            <w:r>
              <w:rPr>
                <w:rFonts w:ascii="Arial" w:hAnsi="Arial"/>
                <w:b w:val="0"/>
                <w:sz w:val="17"/>
              </w:rPr>
              <w:t>Low salt</w:t>
            </w:r>
          </w:p>
        </w:tc>
        <w:tc>
          <w:tcPr>
            <w:tcW w:type="dxa" w:w="1296"/>
            <w:vAlign w:val="top"/>
          </w:tcPr>
          <w:p>
            <w:pPr>
              <w:spacing w:after="0"/>
            </w:pPr>
            <w:r/>
            <w:r>
              <w:rPr>
                <w:rFonts w:ascii="Arial" w:hAnsi="Arial"/>
                <w:b w:val="0"/>
                <w:sz w:val="17"/>
              </w:rPr>
              <w:t>BSA</w:t>
            </w:r>
          </w:p>
        </w:tc>
        <w:tc>
          <w:tcPr>
            <w:tcW w:type="dxa" w:w="1224"/>
            <w:vAlign w:val="top"/>
          </w:tcPr>
          <w:p>
            <w:pPr>
              <w:spacing w:after="0"/>
            </w:pPr>
            <w:r/>
            <w:r>
              <w:rPr>
                <w:rFonts w:ascii="Arial" w:hAnsi="Arial"/>
                <w:b w:val="0"/>
                <w:sz w:val="17"/>
              </w:rPr>
              <w:t>60 min</w:t>
            </w:r>
          </w:p>
        </w:tc>
        <w:tc>
          <w:tcPr>
            <w:tcW w:type="dxa" w:w="1512"/>
            <w:vAlign w:val="top"/>
          </w:tcPr>
          <w:p>
            <w:pPr>
              <w:spacing w:after="0"/>
            </w:pPr>
            <w:r/>
            <w:r>
              <w:rPr>
                <w:rFonts w:ascii="Arial" w:hAnsi="Arial"/>
                <w:b w:val="0"/>
                <w:sz w:val="17"/>
              </w:rPr>
              <w:t>Slight turbidity</w:t>
            </w:r>
          </w:p>
        </w:tc>
        <w:tc>
          <w:tcPr>
            <w:tcW w:type="dxa" w:w="2088"/>
            <w:vAlign w:val="top"/>
          </w:tcPr>
          <w:p>
            <w:pPr>
              <w:spacing w:after="0"/>
            </w:pPr>
            <w:r/>
            <w:r>
              <w:rPr>
                <w:rFonts w:ascii="Arial" w:hAnsi="Arial"/>
                <w:b w:val="0"/>
                <w:sz w:val="17"/>
              </w:rPr>
              <w:t>Check DLS and binding.</w:t>
            </w:r>
          </w:p>
        </w:tc>
      </w:tr>
      <w:tr>
        <w:tc>
          <w:tcPr>
            <w:tcW w:type="dxa" w:w="1080"/>
            <w:vAlign w:val="top"/>
          </w:tcPr>
          <w:p>
            <w:pPr>
              <w:spacing w:after="0"/>
            </w:pPr>
            <w:r/>
            <w:r>
              <w:rPr>
                <w:rFonts w:ascii="Arial" w:hAnsi="Arial"/>
                <w:b w:val="0"/>
                <w:sz w:val="17"/>
              </w:rPr>
              <w:t>AgAb-03</w:t>
            </w:r>
          </w:p>
        </w:tc>
        <w:tc>
          <w:tcPr>
            <w:tcW w:type="dxa" w:w="1008"/>
            <w:vAlign w:val="top"/>
          </w:tcPr>
          <w:p>
            <w:pPr>
              <w:spacing w:after="0"/>
            </w:pPr>
            <w:r/>
            <w:r>
              <w:rPr>
                <w:rFonts w:ascii="Arial" w:hAnsi="Arial"/>
                <w:b w:val="0"/>
                <w:sz w:val="17"/>
              </w:rPr>
              <w:t>100 uL</w:t>
            </w:r>
          </w:p>
        </w:tc>
        <w:tc>
          <w:tcPr>
            <w:tcW w:type="dxa" w:w="1224"/>
            <w:vAlign w:val="top"/>
          </w:tcPr>
          <w:p>
            <w:pPr>
              <w:spacing w:after="0"/>
            </w:pPr>
            <w:r/>
            <w:r>
              <w:rPr>
                <w:rFonts w:ascii="Arial" w:hAnsi="Arial"/>
                <w:b w:val="0"/>
                <w:sz w:val="17"/>
              </w:rPr>
              <w:t>30 uL</w:t>
            </w:r>
          </w:p>
        </w:tc>
        <w:tc>
          <w:tcPr>
            <w:tcW w:type="dxa" w:w="1224"/>
            <w:vAlign w:val="top"/>
          </w:tcPr>
          <w:p>
            <w:pPr>
              <w:spacing w:after="0"/>
            </w:pPr>
            <w:r/>
            <w:r>
              <w:rPr>
                <w:rFonts w:ascii="Arial" w:hAnsi="Arial"/>
                <w:b w:val="0"/>
                <w:sz w:val="17"/>
              </w:rPr>
              <w:t>PBS</w:t>
            </w:r>
          </w:p>
        </w:tc>
        <w:tc>
          <w:tcPr>
            <w:tcW w:type="dxa" w:w="1296"/>
            <w:vAlign w:val="top"/>
          </w:tcPr>
          <w:p>
            <w:pPr>
              <w:spacing w:after="0"/>
            </w:pPr>
            <w:r/>
            <w:r>
              <w:rPr>
                <w:rFonts w:ascii="Arial" w:hAnsi="Arial"/>
                <w:b w:val="0"/>
                <w:sz w:val="17"/>
              </w:rPr>
              <w:t>Casein</w:t>
            </w:r>
          </w:p>
        </w:tc>
        <w:tc>
          <w:tcPr>
            <w:tcW w:type="dxa" w:w="1224"/>
            <w:vAlign w:val="top"/>
          </w:tcPr>
          <w:p>
            <w:pPr>
              <w:spacing w:after="0"/>
            </w:pPr>
            <w:r/>
            <w:r>
              <w:rPr>
                <w:rFonts w:ascii="Arial" w:hAnsi="Arial"/>
                <w:b w:val="0"/>
                <w:sz w:val="17"/>
              </w:rPr>
              <w:t>60 min</w:t>
            </w:r>
          </w:p>
        </w:tc>
        <w:tc>
          <w:tcPr>
            <w:tcW w:type="dxa" w:w="1512"/>
            <w:vAlign w:val="top"/>
          </w:tcPr>
          <w:p>
            <w:pPr>
              <w:spacing w:after="0"/>
            </w:pPr>
            <w:r/>
            <w:r>
              <w:rPr>
                <w:rFonts w:ascii="Arial" w:hAnsi="Arial"/>
                <w:b w:val="0"/>
                <w:sz w:val="17"/>
              </w:rPr>
              <w:t>Sediment</w:t>
            </w:r>
          </w:p>
        </w:tc>
        <w:tc>
          <w:tcPr>
            <w:tcW w:type="dxa" w:w="2088"/>
            <w:vAlign w:val="top"/>
          </w:tcPr>
          <w:p>
            <w:pPr>
              <w:spacing w:after="0"/>
            </w:pPr>
            <w:r/>
            <w:r>
              <w:rPr>
                <w:rFonts w:ascii="Arial" w:hAnsi="Arial"/>
                <w:b w:val="0"/>
                <w:sz w:val="17"/>
              </w:rPr>
              <w:t>Buffer may be unsuitable.</w:t>
            </w:r>
          </w:p>
        </w:tc>
      </w:tr>
      <w:tr>
        <w:tc>
          <w:tcPr>
            <w:tcW w:type="dxa" w:w="1080"/>
            <w:vAlign w:val="top"/>
          </w:tcPr>
          <w:p>
            <w:pPr>
              <w:spacing w:after="0"/>
            </w:pPr>
            <w:r/>
            <w:r>
              <w:rPr>
                <w:rFonts w:ascii="Arial" w:hAnsi="Arial"/>
                <w:b w:val="0"/>
                <w:sz w:val="17"/>
              </w:rPr>
              <w:t>AgAb-04</w:t>
            </w:r>
          </w:p>
        </w:tc>
        <w:tc>
          <w:tcPr>
            <w:tcW w:type="dxa" w:w="1008"/>
            <w:vAlign w:val="top"/>
          </w:tcPr>
          <w:p>
            <w:pPr>
              <w:spacing w:after="0"/>
            </w:pPr>
            <w:r/>
            <w:r>
              <w:rPr>
                <w:rFonts w:ascii="Arial" w:hAnsi="Arial"/>
                <w:b w:val="0"/>
                <w:sz w:val="17"/>
              </w:rPr>
              <w:t>100 uL</w:t>
            </w:r>
          </w:p>
        </w:tc>
        <w:tc>
          <w:tcPr>
            <w:tcW w:type="dxa" w:w="1224"/>
            <w:vAlign w:val="top"/>
          </w:tcPr>
          <w:p>
            <w:pPr>
              <w:spacing w:after="0"/>
            </w:pPr>
            <w:r/>
            <w:r>
              <w:rPr>
                <w:rFonts w:ascii="Arial" w:hAnsi="Arial"/>
                <w:b w:val="0"/>
                <w:sz w:val="17"/>
              </w:rPr>
              <w:t>15 uL</w:t>
            </w:r>
          </w:p>
        </w:tc>
        <w:tc>
          <w:tcPr>
            <w:tcW w:type="dxa" w:w="1224"/>
            <w:vAlign w:val="top"/>
          </w:tcPr>
          <w:p>
            <w:pPr>
              <w:spacing w:after="0"/>
            </w:pPr>
            <w:r/>
            <w:r>
              <w:rPr>
                <w:rFonts w:ascii="Arial" w:hAnsi="Arial"/>
                <w:b w:val="0"/>
                <w:sz w:val="17"/>
              </w:rPr>
              <w:t>Optimized buffer</w:t>
            </w:r>
          </w:p>
        </w:tc>
        <w:tc>
          <w:tcPr>
            <w:tcW w:type="dxa" w:w="1296"/>
            <w:vAlign w:val="top"/>
          </w:tcPr>
          <w:p>
            <w:pPr>
              <w:spacing w:after="0"/>
            </w:pPr>
            <w:r/>
            <w:r>
              <w:rPr>
                <w:rFonts w:ascii="Arial" w:hAnsi="Arial"/>
                <w:b w:val="0"/>
                <w:sz w:val="17"/>
              </w:rPr>
              <w:t>PEG/BSA</w:t>
            </w:r>
          </w:p>
        </w:tc>
        <w:tc>
          <w:tcPr>
            <w:tcW w:type="dxa" w:w="1224"/>
            <w:vAlign w:val="top"/>
          </w:tcPr>
          <w:p>
            <w:pPr>
              <w:spacing w:after="0"/>
            </w:pPr>
            <w:r/>
            <w:r>
              <w:rPr>
                <w:rFonts w:ascii="Arial" w:hAnsi="Arial"/>
                <w:b w:val="0"/>
                <w:sz w:val="17"/>
              </w:rPr>
              <w:t>45 min</w:t>
            </w:r>
          </w:p>
        </w:tc>
        <w:tc>
          <w:tcPr>
            <w:tcW w:type="dxa" w:w="1512"/>
            <w:vAlign w:val="top"/>
          </w:tcPr>
          <w:p>
            <w:pPr>
              <w:spacing w:after="0"/>
            </w:pPr>
            <w:r/>
            <w:r>
              <w:rPr>
                <w:rFonts w:ascii="Arial" w:hAnsi="Arial"/>
                <w:b w:val="0"/>
                <w:sz w:val="17"/>
              </w:rPr>
              <w:t>Uniform dispersion</w:t>
            </w:r>
          </w:p>
        </w:tc>
        <w:tc>
          <w:tcPr>
            <w:tcW w:type="dxa" w:w="2088"/>
            <w:vAlign w:val="top"/>
          </w:tcPr>
          <w:p>
            <w:pPr>
              <w:spacing w:after="0"/>
            </w:pPr>
            <w:r/>
            <w:r>
              <w:rPr>
                <w:rFonts w:ascii="Arial" w:hAnsi="Arial"/>
                <w:b w:val="0"/>
                <w:sz w:val="17"/>
              </w:rPr>
              <w:t>Candidate for assay testing.</w:t>
            </w:r>
          </w:p>
        </w:tc>
      </w:tr>
    </w:tbl>
    <w:p/>
    <w:p>
      <w:pPr>
        <w:pStyle w:val="Heading1"/>
        <w:spacing w:before="160" w:after="80"/>
      </w:pPr>
      <w:r>
        <w:t>14. Offline Characterization Plan</w:t>
      </w:r>
    </w:p>
    <w:p>
      <w:pPr>
        <w:spacing w:after="120" w:line="252" w:lineRule="auto"/>
      </w:pPr>
      <w:r>
        <w:rPr>
          <w:rFonts w:ascii="Arial" w:hAnsi="Arial"/>
          <w:b w:val="0"/>
          <w:i w:val="0"/>
          <w:sz w:val="20"/>
        </w:rPr>
        <w:t>After NSL-assisted preparation, the conjugate should be evaluated externally. These tests confirm whether the visual output is actually a stable and functional immunoassay probe.</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External test</w:t>
            </w:r>
          </w:p>
        </w:tc>
        <w:tc>
          <w:tcPr>
            <w:tcW w:type="dxa" w:w="5112"/>
            <w:shd w:fill="D9EAF7"/>
            <w:vAlign w:val="center"/>
          </w:tcPr>
          <w:p>
            <w:pPr>
              <w:spacing w:after="0"/>
            </w:pPr>
            <w:r/>
            <w:r>
              <w:rPr>
                <w:rFonts w:ascii="Arial" w:hAnsi="Arial"/>
                <w:b/>
                <w:sz w:val="17"/>
              </w:rPr>
              <w:t>Purpose</w:t>
            </w:r>
          </w:p>
        </w:tc>
      </w:tr>
      <w:tr>
        <w:tc>
          <w:tcPr>
            <w:tcW w:type="dxa" w:w="5112"/>
            <w:vAlign w:val="top"/>
          </w:tcPr>
          <w:p>
            <w:pPr>
              <w:spacing w:after="0"/>
            </w:pPr>
            <w:r/>
            <w:r>
              <w:rPr>
                <w:rFonts w:ascii="Arial" w:hAnsi="Arial"/>
                <w:b w:val="0"/>
                <w:sz w:val="17"/>
              </w:rPr>
              <w:t>UV-Visible spectroscopy</w:t>
            </w:r>
          </w:p>
        </w:tc>
        <w:tc>
          <w:tcPr>
            <w:tcW w:type="dxa" w:w="5112"/>
            <w:vAlign w:val="top"/>
          </w:tcPr>
          <w:p>
            <w:pPr>
              <w:spacing w:after="0"/>
            </w:pPr>
            <w:r/>
            <w:r>
              <w:rPr>
                <w:rFonts w:ascii="Arial" w:hAnsi="Arial"/>
                <w:b w:val="0"/>
                <w:sz w:val="17"/>
              </w:rPr>
              <w:t>Track plasmon peak shift, broadening, and aggregation.</w:t>
            </w:r>
          </w:p>
        </w:tc>
      </w:tr>
      <w:tr>
        <w:tc>
          <w:tcPr>
            <w:tcW w:type="dxa" w:w="5112"/>
            <w:vAlign w:val="top"/>
          </w:tcPr>
          <w:p>
            <w:pPr>
              <w:spacing w:after="0"/>
            </w:pPr>
            <w:r/>
            <w:r>
              <w:rPr>
                <w:rFonts w:ascii="Arial" w:hAnsi="Arial"/>
                <w:b w:val="0"/>
                <w:sz w:val="17"/>
              </w:rPr>
              <w:t>DLS particle size</w:t>
            </w:r>
          </w:p>
        </w:tc>
        <w:tc>
          <w:tcPr>
            <w:tcW w:type="dxa" w:w="5112"/>
            <w:vAlign w:val="top"/>
          </w:tcPr>
          <w:p>
            <w:pPr>
              <w:spacing w:after="0"/>
            </w:pPr>
            <w:r/>
            <w:r>
              <w:rPr>
                <w:rFonts w:ascii="Arial" w:hAnsi="Arial"/>
                <w:b w:val="0"/>
                <w:sz w:val="17"/>
              </w:rPr>
              <w:t>Check size increase after antibody addition and aggregation state.</w:t>
            </w:r>
          </w:p>
        </w:tc>
      </w:tr>
      <w:tr>
        <w:tc>
          <w:tcPr>
            <w:tcW w:type="dxa" w:w="5112"/>
            <w:vAlign w:val="top"/>
          </w:tcPr>
          <w:p>
            <w:pPr>
              <w:spacing w:after="0"/>
            </w:pPr>
            <w:r/>
            <w:r>
              <w:rPr>
                <w:rFonts w:ascii="Arial" w:hAnsi="Arial"/>
                <w:b w:val="0"/>
                <w:sz w:val="17"/>
              </w:rPr>
              <w:t>Zeta potential</w:t>
            </w:r>
          </w:p>
        </w:tc>
        <w:tc>
          <w:tcPr>
            <w:tcW w:type="dxa" w:w="5112"/>
            <w:vAlign w:val="top"/>
          </w:tcPr>
          <w:p>
            <w:pPr>
              <w:spacing w:after="0"/>
            </w:pPr>
            <w:r/>
            <w:r>
              <w:rPr>
                <w:rFonts w:ascii="Arial" w:hAnsi="Arial"/>
                <w:b w:val="0"/>
                <w:sz w:val="17"/>
              </w:rPr>
              <w:t>Evaluate surface charge change after conjugation.</w:t>
            </w:r>
          </w:p>
        </w:tc>
      </w:tr>
      <w:tr>
        <w:tc>
          <w:tcPr>
            <w:tcW w:type="dxa" w:w="5112"/>
            <w:vAlign w:val="top"/>
          </w:tcPr>
          <w:p>
            <w:pPr>
              <w:spacing w:after="0"/>
            </w:pPr>
            <w:r/>
            <w:r>
              <w:rPr>
                <w:rFonts w:ascii="Arial" w:hAnsi="Arial"/>
                <w:b w:val="0"/>
                <w:sz w:val="17"/>
              </w:rPr>
              <w:t>Protein assay</w:t>
            </w:r>
          </w:p>
        </w:tc>
        <w:tc>
          <w:tcPr>
            <w:tcW w:type="dxa" w:w="5112"/>
            <w:vAlign w:val="top"/>
          </w:tcPr>
          <w:p>
            <w:pPr>
              <w:spacing w:after="0"/>
            </w:pPr>
            <w:r/>
            <w:r>
              <w:rPr>
                <w:rFonts w:ascii="Arial" w:hAnsi="Arial"/>
                <w:b w:val="0"/>
                <w:sz w:val="17"/>
              </w:rPr>
              <w:t>Estimate antibody amount before and after conjugation.</w:t>
            </w:r>
          </w:p>
        </w:tc>
      </w:tr>
      <w:tr>
        <w:tc>
          <w:tcPr>
            <w:tcW w:type="dxa" w:w="5112"/>
            <w:vAlign w:val="top"/>
          </w:tcPr>
          <w:p>
            <w:pPr>
              <w:spacing w:after="0"/>
            </w:pPr>
            <w:r/>
            <w:r>
              <w:rPr>
                <w:rFonts w:ascii="Arial" w:hAnsi="Arial"/>
                <w:b w:val="0"/>
                <w:sz w:val="17"/>
              </w:rPr>
              <w:t>Centrifugation stability</w:t>
            </w:r>
          </w:p>
        </w:tc>
        <w:tc>
          <w:tcPr>
            <w:tcW w:type="dxa" w:w="5112"/>
            <w:vAlign w:val="top"/>
          </w:tcPr>
          <w:p>
            <w:pPr>
              <w:spacing w:after="0"/>
            </w:pPr>
            <w:r/>
            <w:r>
              <w:rPr>
                <w:rFonts w:ascii="Arial" w:hAnsi="Arial"/>
                <w:b w:val="0"/>
                <w:sz w:val="17"/>
              </w:rPr>
              <w:t>Assess colloidal robustness.</w:t>
            </w:r>
          </w:p>
        </w:tc>
      </w:tr>
      <w:tr>
        <w:tc>
          <w:tcPr>
            <w:tcW w:type="dxa" w:w="5112"/>
            <w:vAlign w:val="top"/>
          </w:tcPr>
          <w:p>
            <w:pPr>
              <w:spacing w:after="0"/>
            </w:pPr>
            <w:r/>
            <w:r>
              <w:rPr>
                <w:rFonts w:ascii="Arial" w:hAnsi="Arial"/>
                <w:b w:val="0"/>
                <w:sz w:val="17"/>
              </w:rPr>
              <w:t>SDS-PAGE / western-type check</w:t>
            </w:r>
          </w:p>
        </w:tc>
        <w:tc>
          <w:tcPr>
            <w:tcW w:type="dxa" w:w="5112"/>
            <w:vAlign w:val="top"/>
          </w:tcPr>
          <w:p>
            <w:pPr>
              <w:spacing w:after="0"/>
            </w:pPr>
            <w:r/>
            <w:r>
              <w:rPr>
                <w:rFonts w:ascii="Arial" w:hAnsi="Arial"/>
                <w:b w:val="0"/>
                <w:sz w:val="17"/>
              </w:rPr>
              <w:t>Confirm protein association where applicable.</w:t>
            </w:r>
          </w:p>
        </w:tc>
      </w:tr>
      <w:tr>
        <w:tc>
          <w:tcPr>
            <w:tcW w:type="dxa" w:w="5112"/>
            <w:vAlign w:val="top"/>
          </w:tcPr>
          <w:p>
            <w:pPr>
              <w:spacing w:after="0"/>
            </w:pPr>
            <w:r/>
            <w:r>
              <w:rPr>
                <w:rFonts w:ascii="Arial" w:hAnsi="Arial"/>
                <w:b w:val="0"/>
                <w:sz w:val="17"/>
              </w:rPr>
              <w:t>Dot blot or antigen spot test</w:t>
            </w:r>
          </w:p>
        </w:tc>
        <w:tc>
          <w:tcPr>
            <w:tcW w:type="dxa" w:w="5112"/>
            <w:vAlign w:val="top"/>
          </w:tcPr>
          <w:p>
            <w:pPr>
              <w:spacing w:after="0"/>
            </w:pPr>
            <w:r/>
            <w:r>
              <w:rPr>
                <w:rFonts w:ascii="Arial" w:hAnsi="Arial"/>
                <w:b w:val="0"/>
                <w:sz w:val="17"/>
              </w:rPr>
              <w:t>Check antigen recognition qualitatively.</w:t>
            </w:r>
          </w:p>
        </w:tc>
      </w:tr>
      <w:tr>
        <w:tc>
          <w:tcPr>
            <w:tcW w:type="dxa" w:w="5112"/>
            <w:vAlign w:val="top"/>
          </w:tcPr>
          <w:p>
            <w:pPr>
              <w:spacing w:after="0"/>
            </w:pPr>
            <w:r/>
            <w:r>
              <w:rPr>
                <w:rFonts w:ascii="Arial" w:hAnsi="Arial"/>
                <w:b w:val="0"/>
                <w:sz w:val="17"/>
              </w:rPr>
              <w:t>ELISA-type comparison</w:t>
            </w:r>
          </w:p>
        </w:tc>
        <w:tc>
          <w:tcPr>
            <w:tcW w:type="dxa" w:w="5112"/>
            <w:vAlign w:val="top"/>
          </w:tcPr>
          <w:p>
            <w:pPr>
              <w:spacing w:after="0"/>
            </w:pPr>
            <w:r/>
            <w:r>
              <w:rPr>
                <w:rFonts w:ascii="Arial" w:hAnsi="Arial"/>
                <w:b w:val="0"/>
                <w:sz w:val="17"/>
              </w:rPr>
              <w:t>Evaluate antigen binding response quantitatively.</w:t>
            </w:r>
          </w:p>
        </w:tc>
      </w:tr>
      <w:tr>
        <w:tc>
          <w:tcPr>
            <w:tcW w:type="dxa" w:w="5112"/>
            <w:vAlign w:val="top"/>
          </w:tcPr>
          <w:p>
            <w:pPr>
              <w:spacing w:after="0"/>
            </w:pPr>
            <w:r/>
            <w:r>
              <w:rPr>
                <w:rFonts w:ascii="Arial" w:hAnsi="Arial"/>
                <w:b w:val="0"/>
                <w:sz w:val="17"/>
              </w:rPr>
              <w:t>Lateral-flow prototype test</w:t>
            </w:r>
          </w:p>
        </w:tc>
        <w:tc>
          <w:tcPr>
            <w:tcW w:type="dxa" w:w="5112"/>
            <w:vAlign w:val="top"/>
          </w:tcPr>
          <w:p>
            <w:pPr>
              <w:spacing w:after="0"/>
            </w:pPr>
            <w:r/>
            <w:r>
              <w:rPr>
                <w:rFonts w:ascii="Arial" w:hAnsi="Arial"/>
                <w:b w:val="0"/>
                <w:sz w:val="17"/>
              </w:rPr>
              <w:t>Study visual probe behaviour on strip format.</w:t>
            </w:r>
          </w:p>
        </w:tc>
      </w:tr>
      <w:tr>
        <w:tc>
          <w:tcPr>
            <w:tcW w:type="dxa" w:w="5112"/>
            <w:vAlign w:val="top"/>
          </w:tcPr>
          <w:p>
            <w:pPr>
              <w:spacing w:after="0"/>
            </w:pPr>
            <w:r/>
            <w:r>
              <w:rPr>
                <w:rFonts w:ascii="Arial" w:hAnsi="Arial"/>
                <w:b w:val="0"/>
                <w:sz w:val="17"/>
              </w:rPr>
              <w:t>Storage stability</w:t>
            </w:r>
          </w:p>
        </w:tc>
        <w:tc>
          <w:tcPr>
            <w:tcW w:type="dxa" w:w="5112"/>
            <w:vAlign w:val="top"/>
          </w:tcPr>
          <w:p>
            <w:pPr>
              <w:spacing w:after="0"/>
            </w:pPr>
            <w:r/>
            <w:r>
              <w:rPr>
                <w:rFonts w:ascii="Arial" w:hAnsi="Arial"/>
                <w:b w:val="0"/>
                <w:sz w:val="17"/>
              </w:rPr>
              <w:t>Track appearance and binding activity over time.</w:t>
            </w:r>
          </w:p>
        </w:tc>
      </w:tr>
    </w:tbl>
    <w:p/>
    <w:p>
      <w:pPr>
        <w:pStyle w:val="Heading1"/>
        <w:spacing w:before="160" w:after="80"/>
      </w:pPr>
      <w:r>
        <w:t>15. Immunoassay Development Context</w:t>
      </w:r>
    </w:p>
    <w:p>
      <w:pPr>
        <w:spacing w:after="120" w:line="252" w:lineRule="auto"/>
      </w:pPr>
      <w:r>
        <w:rPr>
          <w:rFonts w:ascii="Arial" w:hAnsi="Arial"/>
          <w:b w:val="0"/>
          <w:i w:val="0"/>
          <w:sz w:val="20"/>
        </w:rPr>
        <w:t>AgNP-antibody conjugates may be used in different immunoassay concepts. The conjugate is only one part of the assay system. Capture antibody, antigen, membrane or plate surface, blocking chemistry, washing steps, sample matrix, and readout method all influence final performance.</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Immunoassay format</w:t>
            </w:r>
          </w:p>
        </w:tc>
        <w:tc>
          <w:tcPr>
            <w:tcW w:type="dxa" w:w="5112"/>
            <w:shd w:fill="D9EAF7"/>
            <w:vAlign w:val="center"/>
          </w:tcPr>
          <w:p>
            <w:pPr>
              <w:spacing w:after="0"/>
            </w:pPr>
            <w:r/>
            <w:r>
              <w:rPr>
                <w:rFonts w:ascii="Arial" w:hAnsi="Arial"/>
                <w:b/>
                <w:sz w:val="17"/>
              </w:rPr>
              <w:t>How AgNP-antibody probe may be used</w:t>
            </w:r>
          </w:p>
        </w:tc>
      </w:tr>
      <w:tr>
        <w:tc>
          <w:tcPr>
            <w:tcW w:type="dxa" w:w="5112"/>
            <w:vAlign w:val="top"/>
          </w:tcPr>
          <w:p>
            <w:pPr>
              <w:spacing w:after="0"/>
            </w:pPr>
            <w:r/>
            <w:r>
              <w:rPr>
                <w:rFonts w:ascii="Arial" w:hAnsi="Arial"/>
                <w:b w:val="0"/>
                <w:sz w:val="17"/>
              </w:rPr>
              <w:t>Dot blot model</w:t>
            </w:r>
          </w:p>
        </w:tc>
        <w:tc>
          <w:tcPr>
            <w:tcW w:type="dxa" w:w="5112"/>
            <w:vAlign w:val="top"/>
          </w:tcPr>
          <w:p>
            <w:pPr>
              <w:spacing w:after="0"/>
            </w:pPr>
            <w:r/>
            <w:r>
              <w:rPr>
                <w:rFonts w:ascii="Arial" w:hAnsi="Arial"/>
                <w:b w:val="0"/>
                <w:sz w:val="17"/>
              </w:rPr>
              <w:t>Probe binds antigen immobilized on a surface and gives visible or instrument-readable signal.</w:t>
            </w:r>
          </w:p>
        </w:tc>
      </w:tr>
      <w:tr>
        <w:tc>
          <w:tcPr>
            <w:tcW w:type="dxa" w:w="5112"/>
            <w:vAlign w:val="top"/>
          </w:tcPr>
          <w:p>
            <w:pPr>
              <w:spacing w:after="0"/>
            </w:pPr>
            <w:r/>
            <w:r>
              <w:rPr>
                <w:rFonts w:ascii="Arial" w:hAnsi="Arial"/>
                <w:b w:val="0"/>
                <w:sz w:val="17"/>
              </w:rPr>
              <w:t>Lateral-flow model</w:t>
            </w:r>
          </w:p>
        </w:tc>
        <w:tc>
          <w:tcPr>
            <w:tcW w:type="dxa" w:w="5112"/>
            <w:vAlign w:val="top"/>
          </w:tcPr>
          <w:p>
            <w:pPr>
              <w:spacing w:after="0"/>
            </w:pPr>
            <w:r/>
            <w:r>
              <w:rPr>
                <w:rFonts w:ascii="Arial" w:hAnsi="Arial"/>
                <w:b w:val="0"/>
                <w:sz w:val="17"/>
              </w:rPr>
              <w:t>Probe migrates through a membrane and binds at a test line where target is present.</w:t>
            </w:r>
          </w:p>
        </w:tc>
      </w:tr>
      <w:tr>
        <w:tc>
          <w:tcPr>
            <w:tcW w:type="dxa" w:w="5112"/>
            <w:vAlign w:val="top"/>
          </w:tcPr>
          <w:p>
            <w:pPr>
              <w:spacing w:after="0"/>
            </w:pPr>
            <w:r/>
            <w:r>
              <w:rPr>
                <w:rFonts w:ascii="Arial" w:hAnsi="Arial"/>
                <w:b w:val="0"/>
                <w:sz w:val="17"/>
              </w:rPr>
              <w:t>Colorimetric tube assay</w:t>
            </w:r>
          </w:p>
        </w:tc>
        <w:tc>
          <w:tcPr>
            <w:tcW w:type="dxa" w:w="5112"/>
            <w:vAlign w:val="top"/>
          </w:tcPr>
          <w:p>
            <w:pPr>
              <w:spacing w:after="0"/>
            </w:pPr>
            <w:r/>
            <w:r>
              <w:rPr>
                <w:rFonts w:ascii="Arial" w:hAnsi="Arial"/>
                <w:b w:val="0"/>
                <w:sz w:val="17"/>
              </w:rPr>
              <w:t>Binding or aggregation response may be monitored visually or spectroscopically.</w:t>
            </w:r>
          </w:p>
        </w:tc>
      </w:tr>
      <w:tr>
        <w:tc>
          <w:tcPr>
            <w:tcW w:type="dxa" w:w="5112"/>
            <w:vAlign w:val="top"/>
          </w:tcPr>
          <w:p>
            <w:pPr>
              <w:spacing w:after="0"/>
            </w:pPr>
            <w:r/>
            <w:r>
              <w:rPr>
                <w:rFonts w:ascii="Arial" w:hAnsi="Arial"/>
                <w:b w:val="0"/>
                <w:sz w:val="17"/>
              </w:rPr>
              <w:t>Sandwich immunoassay</w:t>
            </w:r>
          </w:p>
        </w:tc>
        <w:tc>
          <w:tcPr>
            <w:tcW w:type="dxa" w:w="5112"/>
            <w:vAlign w:val="top"/>
          </w:tcPr>
          <w:p>
            <w:pPr>
              <w:spacing w:after="0"/>
            </w:pPr>
            <w:r/>
            <w:r>
              <w:rPr>
                <w:rFonts w:ascii="Arial" w:hAnsi="Arial"/>
                <w:b w:val="0"/>
                <w:sz w:val="17"/>
              </w:rPr>
              <w:t>AgNP-antibody probe acts as a detection antibody conjugate.</w:t>
            </w:r>
          </w:p>
        </w:tc>
      </w:tr>
      <w:tr>
        <w:tc>
          <w:tcPr>
            <w:tcW w:type="dxa" w:w="5112"/>
            <w:vAlign w:val="top"/>
          </w:tcPr>
          <w:p>
            <w:pPr>
              <w:spacing w:after="0"/>
            </w:pPr>
            <w:r/>
            <w:r>
              <w:rPr>
                <w:rFonts w:ascii="Arial" w:hAnsi="Arial"/>
                <w:b w:val="0"/>
                <w:sz w:val="17"/>
              </w:rPr>
              <w:t>Nano-biointerface study</w:t>
            </w:r>
          </w:p>
        </w:tc>
        <w:tc>
          <w:tcPr>
            <w:tcW w:type="dxa" w:w="5112"/>
            <w:vAlign w:val="top"/>
          </w:tcPr>
          <w:p>
            <w:pPr>
              <w:spacing w:after="0"/>
            </w:pPr>
            <w:r/>
            <w:r>
              <w:rPr>
                <w:rFonts w:ascii="Arial" w:hAnsi="Arial"/>
                <w:b w:val="0"/>
                <w:sz w:val="17"/>
              </w:rPr>
              <w:t>Used to study antigen-antibody-nanomaterial interaction under controlled conditions.</w:t>
            </w:r>
          </w:p>
        </w:tc>
      </w:tr>
    </w:tbl>
    <w:p/>
    <w:p>
      <w:pPr>
        <w:pStyle w:val="Heading1"/>
        <w:spacing w:before="160" w:after="80"/>
      </w:pPr>
      <w:r>
        <w:t>16. Webinar Explanation Strategy</w:t>
      </w:r>
    </w:p>
    <w:p>
      <w:pPr>
        <w:spacing w:after="120" w:line="252" w:lineRule="auto"/>
      </w:pPr>
      <w:r>
        <w:rPr>
          <w:rFonts w:ascii="Arial" w:hAnsi="Arial"/>
          <w:b w:val="0"/>
          <w:i w:val="0"/>
          <w:sz w:val="20"/>
        </w:rPr>
        <w:t>For a webinar, this protocol should be explained as a bridge between nanomaterial synthesis and bioassay development. It shows how a nanoparticle can be converted into a biological recognition probe by attaching or associating an antibody with its surface.</w:t>
      </w:r>
    </w:p>
    <w:p>
      <w:pPr>
        <w:spacing w:after="120" w:line="252" w:lineRule="auto"/>
      </w:pPr>
      <w:r>
        <w:rPr>
          <w:rFonts w:ascii="Arial" w:hAnsi="Arial"/>
          <w:b w:val="0"/>
          <w:i w:val="0"/>
          <w:sz w:val="20"/>
        </w:rPr>
        <w:t>A simple explanation can be:</w:t>
      </w:r>
    </w:p>
    <w:p>
      <w:pPr>
        <w:spacing w:after="120" w:line="252" w:lineRule="auto"/>
      </w:pPr>
      <w:r>
        <w:rPr>
          <w:rFonts w:ascii="Arial" w:hAnsi="Arial"/>
          <w:b w:val="0"/>
          <w:i/>
          <w:sz w:val="20"/>
        </w:rPr>
        <w:t>Silver nanoparticles provide the visible nanomaterial label, while antibodies provide target recognition. Protoly defines the preparation workflow, and NSL helps execute repeated dispensing, mixing, incubation, and visual recording steps. The actual proof of immunoassay performance is then performed using external antigen-binding tests.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Slide topic</w:t>
            </w:r>
          </w:p>
        </w:tc>
        <w:tc>
          <w:tcPr>
            <w:tcW w:type="dxa" w:w="5112"/>
            <w:shd w:fill="D9EAF7"/>
            <w:vAlign w:val="center"/>
          </w:tcPr>
          <w:p>
            <w:pPr>
              <w:spacing w:after="0"/>
            </w:pPr>
            <w:r/>
            <w:r>
              <w:rPr>
                <w:rFonts w:ascii="Arial" w:hAnsi="Arial"/>
                <w:b/>
                <w:sz w:val="17"/>
              </w:rPr>
              <w:t>Key message</w:t>
            </w:r>
          </w:p>
        </w:tc>
      </w:tr>
      <w:tr>
        <w:tc>
          <w:tcPr>
            <w:tcW w:type="dxa" w:w="5112"/>
            <w:vAlign w:val="top"/>
          </w:tcPr>
          <w:p>
            <w:pPr>
              <w:spacing w:after="0"/>
            </w:pPr>
            <w:r/>
            <w:r>
              <w:rPr>
                <w:rFonts w:ascii="Arial" w:hAnsi="Arial"/>
                <w:b w:val="0"/>
                <w:sz w:val="17"/>
              </w:rPr>
              <w:t>What is an AgNP-antibody conjugate?</w:t>
            </w:r>
          </w:p>
        </w:tc>
        <w:tc>
          <w:tcPr>
            <w:tcW w:type="dxa" w:w="5112"/>
            <w:vAlign w:val="top"/>
          </w:tcPr>
          <w:p>
            <w:pPr>
              <w:spacing w:after="0"/>
            </w:pPr>
            <w:r/>
            <w:r>
              <w:rPr>
                <w:rFonts w:ascii="Arial" w:hAnsi="Arial"/>
                <w:b w:val="0"/>
                <w:sz w:val="17"/>
              </w:rPr>
              <w:t>A nanomaterial label connected with a biological recognition molecule.</w:t>
            </w:r>
          </w:p>
        </w:tc>
      </w:tr>
      <w:tr>
        <w:tc>
          <w:tcPr>
            <w:tcW w:type="dxa" w:w="5112"/>
            <w:vAlign w:val="top"/>
          </w:tcPr>
          <w:p>
            <w:pPr>
              <w:spacing w:after="0"/>
            </w:pPr>
            <w:r/>
            <w:r>
              <w:rPr>
                <w:rFonts w:ascii="Arial" w:hAnsi="Arial"/>
                <w:b w:val="0"/>
                <w:sz w:val="17"/>
              </w:rPr>
              <w:t>Why prepare it?</w:t>
            </w:r>
          </w:p>
        </w:tc>
        <w:tc>
          <w:tcPr>
            <w:tcW w:type="dxa" w:w="5112"/>
            <w:vAlign w:val="top"/>
          </w:tcPr>
          <w:p>
            <w:pPr>
              <w:spacing w:after="0"/>
            </w:pPr>
            <w:r/>
            <w:r>
              <w:rPr>
                <w:rFonts w:ascii="Arial" w:hAnsi="Arial"/>
                <w:b w:val="0"/>
                <w:sz w:val="17"/>
              </w:rPr>
              <w:t>To create an immunoassay probe prototype.</w:t>
            </w:r>
          </w:p>
        </w:tc>
      </w:tr>
      <w:tr>
        <w:tc>
          <w:tcPr>
            <w:tcW w:type="dxa" w:w="5112"/>
            <w:vAlign w:val="top"/>
          </w:tcPr>
          <w:p>
            <w:pPr>
              <w:spacing w:after="0"/>
            </w:pPr>
            <w:r/>
            <w:r>
              <w:rPr>
                <w:rFonts w:ascii="Arial" w:hAnsi="Arial"/>
                <w:b w:val="0"/>
                <w:sz w:val="17"/>
              </w:rPr>
              <w:t>What NSL supports?</w:t>
            </w:r>
          </w:p>
        </w:tc>
        <w:tc>
          <w:tcPr>
            <w:tcW w:type="dxa" w:w="5112"/>
            <w:vAlign w:val="top"/>
          </w:tcPr>
          <w:p>
            <w:pPr>
              <w:spacing w:after="0"/>
            </w:pPr>
            <w:r/>
            <w:r>
              <w:rPr>
                <w:rFonts w:ascii="Arial" w:hAnsi="Arial"/>
                <w:b w:val="0"/>
                <w:sz w:val="17"/>
              </w:rPr>
              <w:t>Dispensing, stirring, waiting, illumination, and documentation.</w:t>
            </w:r>
          </w:p>
        </w:tc>
      </w:tr>
      <w:tr>
        <w:tc>
          <w:tcPr>
            <w:tcW w:type="dxa" w:w="5112"/>
            <w:vAlign w:val="top"/>
          </w:tcPr>
          <w:p>
            <w:pPr>
              <w:spacing w:after="0"/>
            </w:pPr>
            <w:r/>
            <w:r>
              <w:rPr>
                <w:rFonts w:ascii="Arial" w:hAnsi="Arial"/>
                <w:b w:val="0"/>
                <w:sz w:val="17"/>
              </w:rPr>
              <w:t>What remains external?</w:t>
            </w:r>
          </w:p>
        </w:tc>
        <w:tc>
          <w:tcPr>
            <w:tcW w:type="dxa" w:w="5112"/>
            <w:vAlign w:val="top"/>
          </w:tcPr>
          <w:p>
            <w:pPr>
              <w:spacing w:after="0"/>
            </w:pPr>
            <w:r/>
            <w:r>
              <w:rPr>
                <w:rFonts w:ascii="Arial" w:hAnsi="Arial"/>
                <w:b w:val="0"/>
                <w:sz w:val="17"/>
              </w:rPr>
              <w:t>Binding validation, size, charge, sensitivity, and specificity.</w:t>
            </w:r>
          </w:p>
        </w:tc>
      </w:tr>
      <w:tr>
        <w:tc>
          <w:tcPr>
            <w:tcW w:type="dxa" w:w="5112"/>
            <w:vAlign w:val="top"/>
          </w:tcPr>
          <w:p>
            <w:pPr>
              <w:spacing w:after="0"/>
            </w:pPr>
            <w:r/>
            <w:r>
              <w:rPr>
                <w:rFonts w:ascii="Arial" w:hAnsi="Arial"/>
                <w:b w:val="0"/>
                <w:sz w:val="17"/>
              </w:rPr>
              <w:t>Why Protoly?</w:t>
            </w:r>
          </w:p>
        </w:tc>
        <w:tc>
          <w:tcPr>
            <w:tcW w:type="dxa" w:w="5112"/>
            <w:vAlign w:val="top"/>
          </w:tcPr>
          <w:p>
            <w:pPr>
              <w:spacing w:after="0"/>
            </w:pPr>
            <w:r/>
            <w:r>
              <w:rPr>
                <w:rFonts w:ascii="Arial" w:hAnsi="Arial"/>
                <w:b w:val="0"/>
                <w:sz w:val="17"/>
              </w:rPr>
              <w:t>Structured workflow, repeatability, and batch comparison.</w:t>
            </w:r>
          </w:p>
        </w:tc>
      </w:tr>
    </w:tbl>
    <w:p/>
    <w:p>
      <w:pPr>
        <w:pStyle w:val="Heading1"/>
        <w:spacing w:before="160" w:after="80"/>
      </w:pPr>
      <w:r>
        <w:t>17. How This Protocol Fits the Protoly Library</w:t>
      </w:r>
    </w:p>
    <w:p>
      <w:pPr>
        <w:spacing w:after="120" w:line="252" w:lineRule="auto"/>
      </w:pPr>
      <w:r>
        <w:rPr>
          <w:rFonts w:ascii="Arial" w:hAnsi="Arial"/>
          <w:b w:val="0"/>
          <w:i w:val="0"/>
          <w:sz w:val="20"/>
        </w:rPr>
        <w:t>This protocol adds a bio-recognition layer to the broader Protoly protocol set. Earlier workflows may focus on nanoparticle synthesis, hydrogel preparation, liposome preparation, or surface conditioning. Protocol 12 moves toward immunoassay probe preparation, where nanomaterials are combined with antibodies for antigen-recognition studies.</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Protocol group</w:t>
            </w:r>
          </w:p>
        </w:tc>
        <w:tc>
          <w:tcPr>
            <w:tcW w:type="dxa" w:w="5112"/>
            <w:shd w:fill="D9EAF7"/>
            <w:vAlign w:val="center"/>
          </w:tcPr>
          <w:p>
            <w:pPr>
              <w:spacing w:after="0"/>
            </w:pPr>
            <w:r/>
            <w:r>
              <w:rPr>
                <w:rFonts w:ascii="Arial" w:hAnsi="Arial"/>
                <w:b/>
                <w:sz w:val="17"/>
              </w:rPr>
              <w:t>Connection with Protocol 12</w:t>
            </w:r>
          </w:p>
        </w:tc>
      </w:tr>
      <w:tr>
        <w:tc>
          <w:tcPr>
            <w:tcW w:type="dxa" w:w="5112"/>
            <w:vAlign w:val="top"/>
          </w:tcPr>
          <w:p>
            <w:pPr>
              <w:spacing w:after="0"/>
            </w:pPr>
            <w:r/>
            <w:r>
              <w:rPr>
                <w:rFonts w:ascii="Arial" w:hAnsi="Arial"/>
                <w:b w:val="0"/>
                <w:sz w:val="17"/>
              </w:rPr>
              <w:t>AgNP synthesis</w:t>
            </w:r>
          </w:p>
        </w:tc>
        <w:tc>
          <w:tcPr>
            <w:tcW w:type="dxa" w:w="5112"/>
            <w:vAlign w:val="top"/>
          </w:tcPr>
          <w:p>
            <w:pPr>
              <w:spacing w:after="0"/>
            </w:pPr>
            <w:r/>
            <w:r>
              <w:rPr>
                <w:rFonts w:ascii="Arial" w:hAnsi="Arial"/>
                <w:b w:val="0"/>
                <w:sz w:val="17"/>
              </w:rPr>
              <w:t>Provides the base nanoparticle dispersion.</w:t>
            </w:r>
          </w:p>
        </w:tc>
      </w:tr>
      <w:tr>
        <w:tc>
          <w:tcPr>
            <w:tcW w:type="dxa" w:w="5112"/>
            <w:vAlign w:val="top"/>
          </w:tcPr>
          <w:p>
            <w:pPr>
              <w:spacing w:after="0"/>
            </w:pPr>
            <w:r/>
            <w:r>
              <w:rPr>
                <w:rFonts w:ascii="Arial" w:hAnsi="Arial"/>
                <w:b w:val="0"/>
                <w:sz w:val="17"/>
              </w:rPr>
              <w:t>Protein corona study</w:t>
            </w:r>
          </w:p>
        </w:tc>
        <w:tc>
          <w:tcPr>
            <w:tcW w:type="dxa" w:w="5112"/>
            <w:vAlign w:val="top"/>
          </w:tcPr>
          <w:p>
            <w:pPr>
              <w:spacing w:after="0"/>
            </w:pPr>
            <w:r/>
            <w:r>
              <w:rPr>
                <w:rFonts w:ascii="Arial" w:hAnsi="Arial"/>
                <w:b w:val="0"/>
                <w:sz w:val="17"/>
              </w:rPr>
              <w:t>Helps understand how proteins interact with nanoparticles.</w:t>
            </w:r>
          </w:p>
        </w:tc>
      </w:tr>
      <w:tr>
        <w:tc>
          <w:tcPr>
            <w:tcW w:type="dxa" w:w="5112"/>
            <w:vAlign w:val="top"/>
          </w:tcPr>
          <w:p>
            <w:pPr>
              <w:spacing w:after="0"/>
            </w:pPr>
            <w:r/>
            <w:r>
              <w:rPr>
                <w:rFonts w:ascii="Arial" w:hAnsi="Arial"/>
                <w:b w:val="0"/>
                <w:sz w:val="17"/>
              </w:rPr>
              <w:t>Antibody conjugate preparation</w:t>
            </w:r>
          </w:p>
        </w:tc>
        <w:tc>
          <w:tcPr>
            <w:tcW w:type="dxa" w:w="5112"/>
            <w:vAlign w:val="top"/>
          </w:tcPr>
          <w:p>
            <w:pPr>
              <w:spacing w:after="0"/>
            </w:pPr>
            <w:r/>
            <w:r>
              <w:rPr>
                <w:rFonts w:ascii="Arial" w:hAnsi="Arial"/>
                <w:b w:val="0"/>
                <w:sz w:val="17"/>
              </w:rPr>
              <w:t>Adds target-recognition functionality.</w:t>
            </w:r>
          </w:p>
        </w:tc>
      </w:tr>
      <w:tr>
        <w:tc>
          <w:tcPr>
            <w:tcW w:type="dxa" w:w="5112"/>
            <w:vAlign w:val="top"/>
          </w:tcPr>
          <w:p>
            <w:pPr>
              <w:spacing w:after="0"/>
            </w:pPr>
            <w:r/>
            <w:r>
              <w:rPr>
                <w:rFonts w:ascii="Arial" w:hAnsi="Arial"/>
                <w:b w:val="0"/>
                <w:sz w:val="17"/>
              </w:rPr>
              <w:t>SERS-ready probe preparation</w:t>
            </w:r>
          </w:p>
        </w:tc>
        <w:tc>
          <w:tcPr>
            <w:tcW w:type="dxa" w:w="5112"/>
            <w:vAlign w:val="top"/>
          </w:tcPr>
          <w:p>
            <w:pPr>
              <w:spacing w:after="0"/>
            </w:pPr>
            <w:r/>
            <w:r>
              <w:rPr>
                <w:rFonts w:ascii="Arial" w:hAnsi="Arial"/>
                <w:b w:val="0"/>
                <w:sz w:val="17"/>
              </w:rPr>
              <w:t>Can build on antibody-nanoparticle conjugates for enhanced signal.</w:t>
            </w:r>
          </w:p>
        </w:tc>
      </w:tr>
      <w:tr>
        <w:tc>
          <w:tcPr>
            <w:tcW w:type="dxa" w:w="5112"/>
            <w:vAlign w:val="top"/>
          </w:tcPr>
          <w:p>
            <w:pPr>
              <w:spacing w:after="0"/>
            </w:pPr>
            <w:r/>
            <w:r>
              <w:rPr>
                <w:rFonts w:ascii="Arial" w:hAnsi="Arial"/>
                <w:b w:val="0"/>
                <w:sz w:val="17"/>
              </w:rPr>
              <w:t>Antigen-antibody complex assembly</w:t>
            </w:r>
          </w:p>
        </w:tc>
        <w:tc>
          <w:tcPr>
            <w:tcW w:type="dxa" w:w="5112"/>
            <w:vAlign w:val="top"/>
          </w:tcPr>
          <w:p>
            <w:pPr>
              <w:spacing w:after="0"/>
            </w:pPr>
            <w:r/>
            <w:r>
              <w:rPr>
                <w:rFonts w:ascii="Arial" w:hAnsi="Arial"/>
                <w:b w:val="0"/>
                <w:sz w:val="17"/>
              </w:rPr>
              <w:t>Uses the prepared probe in recognition experiments.</w:t>
            </w:r>
          </w:p>
        </w:tc>
      </w:tr>
      <w:tr>
        <w:tc>
          <w:tcPr>
            <w:tcW w:type="dxa" w:w="5112"/>
            <w:vAlign w:val="top"/>
          </w:tcPr>
          <w:p>
            <w:pPr>
              <w:spacing w:after="0"/>
            </w:pPr>
            <w:r/>
            <w:r>
              <w:rPr>
                <w:rFonts w:ascii="Arial" w:hAnsi="Arial"/>
                <w:b w:val="0"/>
                <w:sz w:val="17"/>
              </w:rPr>
              <w:t>Electrochemical detection model</w:t>
            </w:r>
          </w:p>
        </w:tc>
        <w:tc>
          <w:tcPr>
            <w:tcW w:type="dxa" w:w="5112"/>
            <w:vAlign w:val="top"/>
          </w:tcPr>
          <w:p>
            <w:pPr>
              <w:spacing w:after="0"/>
            </w:pPr>
            <w:r/>
            <w:r>
              <w:rPr>
                <w:rFonts w:ascii="Arial" w:hAnsi="Arial"/>
                <w:b w:val="0"/>
                <w:sz w:val="17"/>
              </w:rPr>
              <w:t>Shows another biosensing direction in the Protoly library.</w:t>
            </w:r>
          </w:p>
        </w:tc>
      </w:tr>
    </w:tbl>
    <w:p/>
    <w:p>
      <w:pPr>
        <w:pStyle w:val="Heading1"/>
        <w:spacing w:before="160" w:after="80"/>
      </w:pPr>
      <w:r>
        <w:t>18. Safety and Handling Considerations</w:t>
      </w:r>
    </w:p>
    <w:p>
      <w:pPr>
        <w:spacing w:after="120" w:line="252" w:lineRule="auto"/>
      </w:pPr>
      <w:r>
        <w:rPr>
          <w:rFonts w:ascii="Arial" w:hAnsi="Arial"/>
          <w:b w:val="0"/>
          <w:i w:val="0"/>
          <w:sz w:val="20"/>
        </w:rPr>
        <w:t>This workflow uses nanomaterials and biological reagents, so safe handling and clear labelling are important. The protocol should remain within research-scale and educational boundaries unless all required validation and approvals are completed.</w:t>
      </w:r>
    </w:p>
    <w:p>
      <w:pPr>
        <w:pStyle w:val="ListBullet"/>
        <w:spacing w:after="40"/>
      </w:pPr>
      <w:r>
        <w:rPr>
          <w:rFonts w:ascii="Arial" w:hAnsi="Arial"/>
          <w:sz w:val="20"/>
        </w:rPr>
        <w:t>Use gloves, lab coat, and eye protection while handling nanoparticle and antibody solutions.</w:t>
      </w:r>
    </w:p>
    <w:p>
      <w:pPr>
        <w:pStyle w:val="ListBullet"/>
        <w:spacing w:after="40"/>
      </w:pPr>
      <w:r>
        <w:rPr>
          <w:rFonts w:ascii="Arial" w:hAnsi="Arial"/>
          <w:sz w:val="20"/>
        </w:rPr>
        <w:t>Avoid aerosol generation during mixing or sonication.</w:t>
      </w:r>
    </w:p>
    <w:p>
      <w:pPr>
        <w:pStyle w:val="ListBullet"/>
        <w:spacing w:after="40"/>
      </w:pPr>
      <w:r>
        <w:rPr>
          <w:rFonts w:ascii="Arial" w:hAnsi="Arial"/>
          <w:sz w:val="20"/>
        </w:rPr>
        <w:t>Keep antibody solutions under recommended storage conditions before use.</w:t>
      </w:r>
    </w:p>
    <w:p>
      <w:pPr>
        <w:pStyle w:val="ListBullet"/>
        <w:spacing w:after="40"/>
      </w:pPr>
      <w:r>
        <w:rPr>
          <w:rFonts w:ascii="Arial" w:hAnsi="Arial"/>
          <w:sz w:val="20"/>
        </w:rPr>
        <w:t>Do not expose antibodies to harsh heat, extreme pH, or aggressive mixing unless validated.</w:t>
      </w:r>
    </w:p>
    <w:p>
      <w:pPr>
        <w:pStyle w:val="ListBullet"/>
        <w:spacing w:after="40"/>
      </w:pPr>
      <w:r>
        <w:rPr>
          <w:rFonts w:ascii="Arial" w:hAnsi="Arial"/>
          <w:sz w:val="20"/>
        </w:rPr>
        <w:t>Label all conjugate batches with antibody type, batch ID, date, and storage condition.</w:t>
      </w:r>
    </w:p>
    <w:p>
      <w:pPr>
        <w:pStyle w:val="ListBullet"/>
        <w:spacing w:after="40"/>
      </w:pPr>
      <w:r>
        <w:rPr>
          <w:rFonts w:ascii="Arial" w:hAnsi="Arial"/>
          <w:sz w:val="20"/>
        </w:rPr>
        <w:t>Dispose nanoparticle-containing waste according to laboratory safety rules.</w:t>
      </w:r>
    </w:p>
    <w:p>
      <w:pPr>
        <w:pStyle w:val="ListBullet"/>
        <w:spacing w:after="40"/>
      </w:pPr>
      <w:r>
        <w:rPr>
          <w:rFonts w:ascii="Arial" w:hAnsi="Arial"/>
          <w:sz w:val="20"/>
        </w:rPr>
        <w:t>Do not describe the prepared conjugate as a diagnostic reagent without external validation.</w:t>
      </w:r>
    </w:p>
    <w:p>
      <w:pPr>
        <w:pStyle w:val="Heading1"/>
        <w:spacing w:before="160" w:after="80"/>
      </w:pPr>
      <w:r>
        <w:t>19. Limitations</w:t>
      </w:r>
    </w:p>
    <w:p>
      <w:pPr>
        <w:spacing w:after="120" w:line="252" w:lineRule="auto"/>
      </w:pPr>
      <w:r>
        <w:rPr>
          <w:rFonts w:ascii="Arial" w:hAnsi="Arial"/>
          <w:b w:val="0"/>
          <w:i w:val="0"/>
          <w:sz w:val="20"/>
        </w:rPr>
        <w:t>The protocol has a clear preparation scope. It does not independently prove that the antibody is attached, correctly oriented, biologically active, or useful in a diagnostic assay.</w:t>
      </w:r>
    </w:p>
    <w:p>
      <w:pPr>
        <w:pStyle w:val="ListBullet"/>
        <w:spacing w:after="40"/>
      </w:pPr>
      <w:r>
        <w:rPr>
          <w:rFonts w:ascii="Arial" w:hAnsi="Arial"/>
          <w:sz w:val="20"/>
        </w:rPr>
        <w:t>It does not confirm antibody conjugation efficiency by itself.</w:t>
      </w:r>
    </w:p>
    <w:p>
      <w:pPr>
        <w:pStyle w:val="ListBullet"/>
        <w:spacing w:after="40"/>
      </w:pPr>
      <w:r>
        <w:rPr>
          <w:rFonts w:ascii="Arial" w:hAnsi="Arial"/>
          <w:sz w:val="20"/>
        </w:rPr>
        <w:t>It does not verify antigen-binding activity.</w:t>
      </w:r>
    </w:p>
    <w:p>
      <w:pPr>
        <w:pStyle w:val="ListBullet"/>
        <w:spacing w:after="40"/>
      </w:pPr>
      <w:r>
        <w:rPr>
          <w:rFonts w:ascii="Arial" w:hAnsi="Arial"/>
          <w:sz w:val="20"/>
        </w:rPr>
        <w:t>It does not measure diagnostic sensitivity or specificity.</w:t>
      </w:r>
    </w:p>
    <w:p>
      <w:pPr>
        <w:pStyle w:val="ListBullet"/>
        <w:spacing w:after="40"/>
      </w:pPr>
      <w:r>
        <w:rPr>
          <w:rFonts w:ascii="Arial" w:hAnsi="Arial"/>
          <w:sz w:val="20"/>
        </w:rPr>
        <w:t>It does not establish limit of detection.</w:t>
      </w:r>
    </w:p>
    <w:p>
      <w:pPr>
        <w:pStyle w:val="ListBullet"/>
        <w:spacing w:after="40"/>
      </w:pPr>
      <w:r>
        <w:rPr>
          <w:rFonts w:ascii="Arial" w:hAnsi="Arial"/>
          <w:sz w:val="20"/>
        </w:rPr>
        <w:t>It does not confirm storage stability or shelf life.</w:t>
      </w:r>
    </w:p>
    <w:p>
      <w:pPr>
        <w:pStyle w:val="ListBullet"/>
        <w:spacing w:after="40"/>
      </w:pPr>
      <w:r>
        <w:rPr>
          <w:rFonts w:ascii="Arial" w:hAnsi="Arial"/>
          <w:sz w:val="20"/>
        </w:rPr>
        <w:t>It does not confirm sterility or endotoxin status.</w:t>
      </w:r>
    </w:p>
    <w:p>
      <w:pPr>
        <w:pStyle w:val="ListBullet"/>
        <w:spacing w:after="40"/>
      </w:pPr>
      <w:r>
        <w:rPr>
          <w:rFonts w:ascii="Arial" w:hAnsi="Arial"/>
          <w:sz w:val="20"/>
        </w:rPr>
        <w:t>It does not replace DLS, zeta potential, UV-Vis, protein assay, or immunoassay validation.</w:t>
      </w:r>
    </w:p>
    <w:p>
      <w:pPr>
        <w:pStyle w:val="ListBullet"/>
        <w:spacing w:after="40"/>
      </w:pPr>
      <w:r>
        <w:rPr>
          <w:rFonts w:ascii="Arial" w:hAnsi="Arial"/>
          <w:sz w:val="20"/>
        </w:rPr>
        <w:t>It does not create a ready-to-use clinical diagnostic product.</w:t>
      </w:r>
    </w:p>
    <w:p>
      <w:pPr>
        <w:pStyle w:val="Heading1"/>
        <w:spacing w:before="160" w:after="80"/>
      </w:pPr>
      <w:r>
        <w:t>20. Future Development Possibilities</w:t>
      </w:r>
    </w:p>
    <w:p>
      <w:pPr>
        <w:spacing w:after="120" w:line="252" w:lineRule="auto"/>
      </w:pPr>
      <w:r>
        <w:rPr>
          <w:rFonts w:ascii="Arial" w:hAnsi="Arial"/>
          <w:b w:val="0"/>
          <w:i w:val="0"/>
          <w:sz w:val="20"/>
        </w:rPr>
        <w:t>This protocol can be expanded into several advanced Protoly workflows after the basic conjugation process is demonstrated.</w:t>
      </w:r>
    </w:p>
    <w:tbl>
      <w:tblPr>
        <w:tblStyle w:val="TableGrid"/>
        <w:tblW w:type="auto" w:w="0"/>
        <w:jc w:val="center"/>
        <w:tblLook w:firstColumn="1" w:firstRow="1" w:lastColumn="0" w:lastRow="0" w:noHBand="0" w:noVBand="1" w:val="04A0"/>
      </w:tblPr>
      <w:tblGrid>
        <w:gridCol w:w="5112"/>
        <w:gridCol w:w="5112"/>
      </w:tblGrid>
      <w:tr>
        <w:tc>
          <w:tcPr>
            <w:tcW w:type="dxa" w:w="5112"/>
            <w:shd w:fill="D9EAF7"/>
            <w:vAlign w:val="center"/>
          </w:tcPr>
          <w:p>
            <w:pPr>
              <w:spacing w:after="0"/>
            </w:pPr>
            <w:r/>
            <w:r>
              <w:rPr>
                <w:rFonts w:ascii="Arial" w:hAnsi="Arial"/>
                <w:b/>
                <w:sz w:val="17"/>
              </w:rPr>
              <w:t>Future workflow</w:t>
            </w:r>
          </w:p>
        </w:tc>
        <w:tc>
          <w:tcPr>
            <w:tcW w:type="dxa" w:w="5112"/>
            <w:shd w:fill="D9EAF7"/>
            <w:vAlign w:val="center"/>
          </w:tcPr>
          <w:p>
            <w:pPr>
              <w:spacing w:after="0"/>
            </w:pPr>
            <w:r/>
            <w:r>
              <w:rPr>
                <w:rFonts w:ascii="Arial" w:hAnsi="Arial"/>
                <w:b/>
                <w:sz w:val="17"/>
              </w:rPr>
              <w:t>Purpose</w:t>
            </w:r>
          </w:p>
        </w:tc>
      </w:tr>
      <w:tr>
        <w:tc>
          <w:tcPr>
            <w:tcW w:type="dxa" w:w="5112"/>
            <w:vAlign w:val="top"/>
          </w:tcPr>
          <w:p>
            <w:pPr>
              <w:spacing w:after="0"/>
            </w:pPr>
            <w:r/>
            <w:r>
              <w:rPr>
                <w:rFonts w:ascii="Arial" w:hAnsi="Arial"/>
                <w:b w:val="0"/>
                <w:sz w:val="17"/>
              </w:rPr>
              <w:t>Antibody ratio optimization</w:t>
            </w:r>
          </w:p>
        </w:tc>
        <w:tc>
          <w:tcPr>
            <w:tcW w:type="dxa" w:w="5112"/>
            <w:vAlign w:val="top"/>
          </w:tcPr>
          <w:p>
            <w:pPr>
              <w:spacing w:after="0"/>
            </w:pPr>
            <w:r/>
            <w:r>
              <w:rPr>
                <w:rFonts w:ascii="Arial" w:hAnsi="Arial"/>
                <w:b w:val="0"/>
                <w:sz w:val="17"/>
              </w:rPr>
              <w:t>Identify antibody amount that gives stable and functional conjugate.</w:t>
            </w:r>
          </w:p>
        </w:tc>
      </w:tr>
      <w:tr>
        <w:tc>
          <w:tcPr>
            <w:tcW w:type="dxa" w:w="5112"/>
            <w:vAlign w:val="top"/>
          </w:tcPr>
          <w:p>
            <w:pPr>
              <w:spacing w:after="0"/>
            </w:pPr>
            <w:r/>
            <w:r>
              <w:rPr>
                <w:rFonts w:ascii="Arial" w:hAnsi="Arial"/>
                <w:b w:val="0"/>
                <w:sz w:val="17"/>
              </w:rPr>
              <w:t>Blocking reagent comparison</w:t>
            </w:r>
          </w:p>
        </w:tc>
        <w:tc>
          <w:tcPr>
            <w:tcW w:type="dxa" w:w="5112"/>
            <w:vAlign w:val="top"/>
          </w:tcPr>
          <w:p>
            <w:pPr>
              <w:spacing w:after="0"/>
            </w:pPr>
            <w:r/>
            <w:r>
              <w:rPr>
                <w:rFonts w:ascii="Arial" w:hAnsi="Arial"/>
                <w:b w:val="0"/>
                <w:sz w:val="17"/>
              </w:rPr>
              <w:t>Compare BSA, casein, PEG, and sugar stabilizers.</w:t>
            </w:r>
          </w:p>
        </w:tc>
      </w:tr>
      <w:tr>
        <w:tc>
          <w:tcPr>
            <w:tcW w:type="dxa" w:w="5112"/>
            <w:vAlign w:val="top"/>
          </w:tcPr>
          <w:p>
            <w:pPr>
              <w:spacing w:after="0"/>
            </w:pPr>
            <w:r/>
            <w:r>
              <w:rPr>
                <w:rFonts w:ascii="Arial" w:hAnsi="Arial"/>
                <w:b w:val="0"/>
                <w:sz w:val="17"/>
              </w:rPr>
              <w:t>AgNP-antibody stability study</w:t>
            </w:r>
          </w:p>
        </w:tc>
        <w:tc>
          <w:tcPr>
            <w:tcW w:type="dxa" w:w="5112"/>
            <w:vAlign w:val="top"/>
          </w:tcPr>
          <w:p>
            <w:pPr>
              <w:spacing w:after="0"/>
            </w:pPr>
            <w:r/>
            <w:r>
              <w:rPr>
                <w:rFonts w:ascii="Arial" w:hAnsi="Arial"/>
                <w:b w:val="0"/>
                <w:sz w:val="17"/>
              </w:rPr>
              <w:t>Track aggregation and binding activity over storage time.</w:t>
            </w:r>
          </w:p>
        </w:tc>
      </w:tr>
      <w:tr>
        <w:tc>
          <w:tcPr>
            <w:tcW w:type="dxa" w:w="5112"/>
            <w:vAlign w:val="top"/>
          </w:tcPr>
          <w:p>
            <w:pPr>
              <w:spacing w:after="0"/>
            </w:pPr>
            <w:r/>
            <w:r>
              <w:rPr>
                <w:rFonts w:ascii="Arial" w:hAnsi="Arial"/>
                <w:b w:val="0"/>
                <w:sz w:val="17"/>
              </w:rPr>
              <w:t>Dot blot antigen recognition study</w:t>
            </w:r>
          </w:p>
        </w:tc>
        <w:tc>
          <w:tcPr>
            <w:tcW w:type="dxa" w:w="5112"/>
            <w:vAlign w:val="top"/>
          </w:tcPr>
          <w:p>
            <w:pPr>
              <w:spacing w:after="0"/>
            </w:pPr>
            <w:r/>
            <w:r>
              <w:rPr>
                <w:rFonts w:ascii="Arial" w:hAnsi="Arial"/>
                <w:b w:val="0"/>
                <w:sz w:val="17"/>
              </w:rPr>
              <w:t>Quickly check qualitative antigen binding.</w:t>
            </w:r>
          </w:p>
        </w:tc>
      </w:tr>
      <w:tr>
        <w:tc>
          <w:tcPr>
            <w:tcW w:type="dxa" w:w="5112"/>
            <w:vAlign w:val="top"/>
          </w:tcPr>
          <w:p>
            <w:pPr>
              <w:spacing w:after="0"/>
            </w:pPr>
            <w:r/>
            <w:r>
              <w:rPr>
                <w:rFonts w:ascii="Arial" w:hAnsi="Arial"/>
                <w:b w:val="0"/>
                <w:sz w:val="17"/>
              </w:rPr>
              <w:t>Lateral-flow prototype development</w:t>
            </w:r>
          </w:p>
        </w:tc>
        <w:tc>
          <w:tcPr>
            <w:tcW w:type="dxa" w:w="5112"/>
            <w:vAlign w:val="top"/>
          </w:tcPr>
          <w:p>
            <w:pPr>
              <w:spacing w:after="0"/>
            </w:pPr>
            <w:r/>
            <w:r>
              <w:rPr>
                <w:rFonts w:ascii="Arial" w:hAnsi="Arial"/>
                <w:b w:val="0"/>
                <w:sz w:val="17"/>
              </w:rPr>
              <w:t>Use conjugate in membrane-based immunoassay format.</w:t>
            </w:r>
          </w:p>
        </w:tc>
      </w:tr>
      <w:tr>
        <w:tc>
          <w:tcPr>
            <w:tcW w:type="dxa" w:w="5112"/>
            <w:vAlign w:val="top"/>
          </w:tcPr>
          <w:p>
            <w:pPr>
              <w:spacing w:after="0"/>
            </w:pPr>
            <w:r/>
            <w:r>
              <w:rPr>
                <w:rFonts w:ascii="Arial" w:hAnsi="Arial"/>
                <w:b w:val="0"/>
                <w:sz w:val="17"/>
              </w:rPr>
              <w:t>SERS-ready antibody probe</w:t>
            </w:r>
          </w:p>
        </w:tc>
        <w:tc>
          <w:tcPr>
            <w:tcW w:type="dxa" w:w="5112"/>
            <w:vAlign w:val="top"/>
          </w:tcPr>
          <w:p>
            <w:pPr>
              <w:spacing w:after="0"/>
            </w:pPr>
            <w:r/>
            <w:r>
              <w:rPr>
                <w:rFonts w:ascii="Arial" w:hAnsi="Arial"/>
                <w:b w:val="0"/>
                <w:sz w:val="17"/>
              </w:rPr>
              <w:t>Combine antibody recognition with signal-enhanced nanoparticles.</w:t>
            </w:r>
          </w:p>
        </w:tc>
      </w:tr>
      <w:tr>
        <w:tc>
          <w:tcPr>
            <w:tcW w:type="dxa" w:w="5112"/>
            <w:vAlign w:val="top"/>
          </w:tcPr>
          <w:p>
            <w:pPr>
              <w:spacing w:after="0"/>
            </w:pPr>
            <w:r/>
            <w:r>
              <w:rPr>
                <w:rFonts w:ascii="Arial" w:hAnsi="Arial"/>
                <w:b w:val="0"/>
                <w:sz w:val="17"/>
              </w:rPr>
              <w:t>Antigen-antibody nanomaterial complex assembly</w:t>
            </w:r>
          </w:p>
        </w:tc>
        <w:tc>
          <w:tcPr>
            <w:tcW w:type="dxa" w:w="5112"/>
            <w:vAlign w:val="top"/>
          </w:tcPr>
          <w:p>
            <w:pPr>
              <w:spacing w:after="0"/>
            </w:pPr>
            <w:r/>
            <w:r>
              <w:rPr>
                <w:rFonts w:ascii="Arial" w:hAnsi="Arial"/>
                <w:b w:val="0"/>
                <w:sz w:val="17"/>
              </w:rPr>
              <w:t>Use the conjugate in downstream complex-formation studies.</w:t>
            </w:r>
          </w:p>
        </w:tc>
      </w:tr>
      <w:tr>
        <w:tc>
          <w:tcPr>
            <w:tcW w:type="dxa" w:w="5112"/>
            <w:vAlign w:val="top"/>
          </w:tcPr>
          <w:p>
            <w:pPr>
              <w:spacing w:after="0"/>
            </w:pPr>
            <w:r/>
            <w:r>
              <w:rPr>
                <w:rFonts w:ascii="Arial" w:hAnsi="Arial"/>
                <w:b w:val="0"/>
                <w:sz w:val="17"/>
              </w:rPr>
              <w:t>Manual vs NSL-assisted conjugation comparison</w:t>
            </w:r>
          </w:p>
        </w:tc>
        <w:tc>
          <w:tcPr>
            <w:tcW w:type="dxa" w:w="5112"/>
            <w:vAlign w:val="top"/>
          </w:tcPr>
          <w:p>
            <w:pPr>
              <w:spacing w:after="0"/>
            </w:pPr>
            <w:r/>
            <w:r>
              <w:rPr>
                <w:rFonts w:ascii="Arial" w:hAnsi="Arial"/>
                <w:b w:val="0"/>
                <w:sz w:val="17"/>
              </w:rPr>
              <w:t>Demonstrate repeatability and documentation advantage.</w:t>
            </w:r>
          </w:p>
        </w:tc>
      </w:tr>
    </w:tbl>
    <w:p/>
    <w:p>
      <w:pPr>
        <w:pStyle w:val="Heading1"/>
        <w:spacing w:before="160" w:after="80"/>
      </w:pPr>
      <w:r>
        <w:t>21. Suggested Supporting Information Summary</w:t>
      </w:r>
    </w:p>
    <w:p>
      <w:pPr>
        <w:spacing w:after="120" w:line="252" w:lineRule="auto"/>
      </w:pPr>
      <w:r>
        <w:rPr>
          <w:rFonts w:ascii="Arial" w:hAnsi="Arial"/>
          <w:b w:val="0"/>
          <w:i w:val="0"/>
          <w:sz w:val="20"/>
        </w:rPr>
        <w:t>This supporting document explains the scientific intent and practical context of the silver nanoparticle-antibody conjugate workflow. The protocol is designed as a research-scale immunoassay probe preparation model in which AgNPs provide a nanomaterial label and antibodies provide molecular recognition. Protoly organizes the workflow, while NSL supports selected preparation actions such as liquid dispensing, gentle mixing, timed incubation, waiting, illumination, camera documentation, and environment recording.</w:t>
      </w:r>
    </w:p>
    <w:p>
      <w:pPr>
        <w:spacing w:after="120" w:line="252" w:lineRule="auto"/>
      </w:pPr>
      <w:r>
        <w:rPr>
          <w:rFonts w:ascii="Arial" w:hAnsi="Arial"/>
          <w:b w:val="0"/>
          <w:i w:val="0"/>
          <w:sz w:val="20"/>
        </w:rPr>
        <w:t>The protocol is useful for online training, nano-biointerface education, and early immunoassay probe development. However, the prepared conjugate must be characterized and validated externally using suitable analytical and immunological methods. Antibody binding, conjugation efficiency, antigen recognition, diagnostic performance, stability, sterility, and regulatory suitability are not established by the preparation workflow alone.</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95959"/>
        <w:sz w:val="16"/>
      </w:rPr>
      <w:t>Supporting Information Document for Protoly / NSL Workflow</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595959"/>
        <w:sz w:val="18"/>
      </w:rPr>
      <w:t>Protocol 12 Details | AgNP-Antibody Conjugate Preparation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1"/>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E75B6"/>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Protocol_12_details</dc:title>
  <dc:subject>Supporting information for Protocol 12</dc:subject>
  <dc:creator>OpenAI</dc:creator>
  <cp:keywords/>
  <dc:description>Generated for Protoly supporting information section.</dc:description>
  <cp:lastModifiedBy/>
  <cp:revision>1</cp:revision>
  <dcterms:created xsi:type="dcterms:W3CDTF">2013-12-23T23:15:00Z</dcterms:created>
  <dcterms:modified xsi:type="dcterms:W3CDTF">2013-12-23T23:15:00Z</dcterms:modified>
  <cp:category/>
</cp:coreProperties>
</file>