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6"/>
        </w:rPr>
        <w:t>Supporting Information Document</w:t>
      </w:r>
    </w:p>
    <w:p>
      <w:pPr>
        <w:jc w:val="center"/>
      </w:pPr>
      <w:r>
        <w:rPr>
          <w:rFonts w:ascii="Arial" w:hAnsi="Arial"/>
          <w:b/>
          <w:sz w:val="28"/>
        </w:rPr>
        <w:t>Protocol 13: Automated Preparation of SERS-Ready Gold/Silver Nanoparticle-Antibody Probes for Antigen Recognition Studies</w:t>
      </w:r>
    </w:p>
    <w:p>
      <w:pPr>
        <w:jc w:val="center"/>
      </w:pPr>
      <w:r>
        <w:rPr>
          <w:rFonts w:ascii="Arial" w:hAnsi="Arial"/>
          <w:i/>
          <w:sz w:val="22"/>
        </w:rPr>
        <w:t>Deeper Context, Scientific Intent, Automation Logic, and Webinar Explanation</w:t>
      </w:r>
    </w:p>
    <w:p>
      <w:pPr>
        <w:pStyle w:val="Heading1"/>
      </w:pPr>
      <w:r>
        <w:rPr>
          <w:rFonts w:ascii="Arial" w:hAnsi="Arial"/>
        </w:rPr>
        <w:t>1. Support Status on Protoly / NSL</w:t>
      </w:r>
    </w:p>
    <w:p>
      <w:pPr>
        <w:jc w:val="both"/>
      </w:pPr>
      <w:r>
        <w:rPr>
          <w:rFonts w:ascii="Arial" w:hAnsi="Arial"/>
          <w:sz w:val="21"/>
        </w:rPr>
        <w:t>This protocol is partially NSL-supported. The NSL platform can assist with reagent dispensing, controlled stirring, heating where required, timed waiting, sonication, chamber illumination, camera-based visual documentation, exhaust control, and environment-condition logging. These functions are useful for organizing the wet-lab preparation and incubation portions of a nanoparticle-antibody probe workflow.</w:t>
      </w:r>
    </w:p>
    <w:p>
      <w:pPr>
        <w:jc w:val="both"/>
      </w:pPr>
      <w:r>
        <w:rPr>
          <w:rFonts w:ascii="Arial" w:hAnsi="Arial"/>
          <w:sz w:val="21"/>
        </w:rPr>
        <w:t>However, SERS substrate confirmation, antibody activity verification, antigen-binding performance, Raman spectral acquisition, conjugation yield determination, biological validation, and advanced nanoparticle characterization are offline or external activities. The protocol should therefore be presented as an automation-assisted preparation workflow, not as a complete validated diagnostic assay or clinical SERS platform.</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rFonts w:ascii="Arial" w:hAnsi="Arial"/>
                <w:b/>
                <w:sz w:val="18"/>
              </w:rPr>
              <w:t>NSL-Supported Area</w:t>
            </w:r>
          </w:p>
        </w:tc>
        <w:tc>
          <w:tcPr>
            <w:tcW w:type="dxa" w:w="5040"/>
            <w:vAlign w:val="center"/>
            <w:shd w:fill="D9EAF7"/>
          </w:tcPr>
          <w:p>
            <w:r/>
            <w:r>
              <w:rPr>
                <w:rFonts w:ascii="Arial" w:hAnsi="Arial"/>
                <w:b/>
                <w:sz w:val="18"/>
              </w:rPr>
              <w:t>Role in This Protocol</w:t>
            </w:r>
          </w:p>
        </w:tc>
      </w:tr>
      <w:tr>
        <w:tc>
          <w:tcPr>
            <w:tcW w:type="dxa" w:w="5040"/>
            <w:vAlign w:val="center"/>
          </w:tcPr>
          <w:p>
            <w:r/>
            <w:r>
              <w:rPr>
                <w:rFonts w:ascii="Arial" w:hAnsi="Arial"/>
                <w:b w:val="0"/>
                <w:sz w:val="18"/>
              </w:rPr>
              <w:t>Reservoir Dispense</w:t>
            </w:r>
          </w:p>
        </w:tc>
        <w:tc>
          <w:tcPr>
            <w:tcW w:type="dxa" w:w="5040"/>
            <w:vAlign w:val="center"/>
          </w:tcPr>
          <w:p>
            <w:r/>
            <w:r>
              <w:rPr>
                <w:rFonts w:ascii="Arial" w:hAnsi="Arial"/>
                <w:b w:val="0"/>
                <w:sz w:val="18"/>
              </w:rPr>
              <w:t>Addition of nanoparticle dispersion, buffer, linker, antibody solution, blocker, and washing medium</w:t>
            </w:r>
          </w:p>
        </w:tc>
      </w:tr>
      <w:tr>
        <w:tc>
          <w:tcPr>
            <w:tcW w:type="dxa" w:w="5040"/>
            <w:vAlign w:val="center"/>
          </w:tcPr>
          <w:p>
            <w:r/>
            <w:r>
              <w:rPr>
                <w:rFonts w:ascii="Arial" w:hAnsi="Arial"/>
                <w:b w:val="0"/>
                <w:sz w:val="18"/>
              </w:rPr>
              <w:t>Stirrer</w:t>
            </w:r>
          </w:p>
        </w:tc>
        <w:tc>
          <w:tcPr>
            <w:tcW w:type="dxa" w:w="5040"/>
            <w:vAlign w:val="center"/>
          </w:tcPr>
          <w:p>
            <w:r/>
            <w:r>
              <w:rPr>
                <w:rFonts w:ascii="Arial" w:hAnsi="Arial"/>
                <w:b w:val="0"/>
                <w:sz w:val="18"/>
              </w:rPr>
              <w:t>Gentle mixing during linker activation, antibody incubation, and blocking steps</w:t>
            </w:r>
          </w:p>
        </w:tc>
      </w:tr>
      <w:tr>
        <w:tc>
          <w:tcPr>
            <w:tcW w:type="dxa" w:w="5040"/>
            <w:vAlign w:val="center"/>
          </w:tcPr>
          <w:p>
            <w:r/>
            <w:r>
              <w:rPr>
                <w:rFonts w:ascii="Arial" w:hAnsi="Arial"/>
                <w:b w:val="0"/>
                <w:sz w:val="18"/>
              </w:rPr>
              <w:t>Wait</w:t>
            </w:r>
          </w:p>
        </w:tc>
        <w:tc>
          <w:tcPr>
            <w:tcW w:type="dxa" w:w="5040"/>
            <w:vAlign w:val="center"/>
          </w:tcPr>
          <w:p>
            <w:r/>
            <w:r>
              <w:rPr>
                <w:rFonts w:ascii="Arial" w:hAnsi="Arial"/>
                <w:b w:val="0"/>
                <w:sz w:val="18"/>
              </w:rPr>
              <w:t>Defined incubation, conjugation, stabilization, and settling periods</w:t>
            </w:r>
          </w:p>
        </w:tc>
      </w:tr>
      <w:tr>
        <w:tc>
          <w:tcPr>
            <w:tcW w:type="dxa" w:w="5040"/>
            <w:vAlign w:val="center"/>
          </w:tcPr>
          <w:p>
            <w:r/>
            <w:r>
              <w:rPr>
                <w:rFonts w:ascii="Arial" w:hAnsi="Arial"/>
                <w:b w:val="0"/>
                <w:sz w:val="18"/>
              </w:rPr>
              <w:t>Heater</w:t>
            </w:r>
          </w:p>
        </w:tc>
        <w:tc>
          <w:tcPr>
            <w:tcW w:type="dxa" w:w="5040"/>
            <w:vAlign w:val="center"/>
          </w:tcPr>
          <w:p>
            <w:r/>
            <w:r>
              <w:rPr>
                <w:rFonts w:ascii="Arial" w:hAnsi="Arial"/>
                <w:b w:val="0"/>
                <w:sz w:val="18"/>
              </w:rPr>
              <w:t>Optional mild temperature support when compatible with biomolecules</w:t>
            </w:r>
          </w:p>
        </w:tc>
      </w:tr>
      <w:tr>
        <w:tc>
          <w:tcPr>
            <w:tcW w:type="dxa" w:w="5040"/>
            <w:vAlign w:val="center"/>
          </w:tcPr>
          <w:p>
            <w:r/>
            <w:r>
              <w:rPr>
                <w:rFonts w:ascii="Arial" w:hAnsi="Arial"/>
                <w:b w:val="0"/>
                <w:sz w:val="18"/>
              </w:rPr>
              <w:t>Sonicator</w:t>
            </w:r>
          </w:p>
        </w:tc>
        <w:tc>
          <w:tcPr>
            <w:tcW w:type="dxa" w:w="5040"/>
            <w:vAlign w:val="center"/>
          </w:tcPr>
          <w:p>
            <w:r/>
            <w:r>
              <w:rPr>
                <w:rFonts w:ascii="Arial" w:hAnsi="Arial"/>
                <w:b w:val="0"/>
                <w:sz w:val="18"/>
              </w:rPr>
              <w:t>Optional gentle dispersion support before biological conjugation</w:t>
            </w:r>
          </w:p>
        </w:tc>
      </w:tr>
      <w:tr>
        <w:tc>
          <w:tcPr>
            <w:tcW w:type="dxa" w:w="5040"/>
            <w:vAlign w:val="center"/>
          </w:tcPr>
          <w:p>
            <w:r/>
            <w:r>
              <w:rPr>
                <w:rFonts w:ascii="Arial" w:hAnsi="Arial"/>
                <w:b w:val="0"/>
                <w:sz w:val="18"/>
              </w:rPr>
              <w:t>LED Illumination and Camera</w:t>
            </w:r>
          </w:p>
        </w:tc>
        <w:tc>
          <w:tcPr>
            <w:tcW w:type="dxa" w:w="5040"/>
            <w:vAlign w:val="center"/>
          </w:tcPr>
          <w:p>
            <w:r/>
            <w:r>
              <w:rPr>
                <w:rFonts w:ascii="Arial" w:hAnsi="Arial"/>
                <w:b w:val="0"/>
                <w:sz w:val="18"/>
              </w:rPr>
              <w:t>Visual documentation of dispersion appearance, aggregation, colour shift, and sedimentation</w:t>
            </w:r>
          </w:p>
        </w:tc>
      </w:tr>
      <w:tr>
        <w:tc>
          <w:tcPr>
            <w:tcW w:type="dxa" w:w="5040"/>
            <w:vAlign w:val="center"/>
          </w:tcPr>
          <w:p>
            <w:r/>
            <w:r>
              <w:rPr>
                <w:rFonts w:ascii="Arial" w:hAnsi="Arial"/>
                <w:b w:val="0"/>
                <w:sz w:val="18"/>
              </w:rPr>
              <w:t>Sterilization UV</w:t>
            </w:r>
          </w:p>
        </w:tc>
        <w:tc>
          <w:tcPr>
            <w:tcW w:type="dxa" w:w="5040"/>
            <w:vAlign w:val="center"/>
          </w:tcPr>
          <w:p>
            <w:r/>
            <w:r>
              <w:rPr>
                <w:rFonts w:ascii="Arial" w:hAnsi="Arial"/>
                <w:b w:val="0"/>
                <w:sz w:val="18"/>
              </w:rPr>
              <w:t>Pre-process chamber preparation; not a substitute for validated sterility</w:t>
            </w:r>
          </w:p>
        </w:tc>
      </w:tr>
      <w:tr>
        <w:tc>
          <w:tcPr>
            <w:tcW w:type="dxa" w:w="5040"/>
            <w:vAlign w:val="center"/>
          </w:tcPr>
          <w:p>
            <w:r/>
            <w:r>
              <w:rPr>
                <w:rFonts w:ascii="Arial" w:hAnsi="Arial"/>
                <w:b w:val="0"/>
                <w:sz w:val="18"/>
              </w:rPr>
              <w:t>Exhaust and Environment Sensors</w:t>
            </w:r>
          </w:p>
        </w:tc>
        <w:tc>
          <w:tcPr>
            <w:tcW w:type="dxa" w:w="5040"/>
            <w:vAlign w:val="center"/>
          </w:tcPr>
          <w:p>
            <w:r/>
            <w:r>
              <w:rPr>
                <w:rFonts w:ascii="Arial" w:hAnsi="Arial"/>
                <w:b w:val="0"/>
                <w:sz w:val="18"/>
              </w:rPr>
              <w:t>Airflow support and ambient chamber-condition record</w:t>
            </w:r>
          </w:p>
        </w:tc>
      </w:tr>
    </w:tbl>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rFonts w:ascii="Arial" w:hAnsi="Arial"/>
                <w:b/>
                <w:sz w:val="18"/>
              </w:rPr>
              <w:t>Offline / External Step</w:t>
            </w:r>
          </w:p>
        </w:tc>
        <w:tc>
          <w:tcPr>
            <w:tcW w:type="dxa" w:w="5040"/>
            <w:vAlign w:val="center"/>
            <w:shd w:fill="D9EAF7"/>
          </w:tcPr>
          <w:p>
            <w:r/>
            <w:r>
              <w:rPr>
                <w:rFonts w:ascii="Arial" w:hAnsi="Arial"/>
                <w:b/>
                <w:sz w:val="18"/>
              </w:rPr>
              <w:t>Purpose</w:t>
            </w:r>
          </w:p>
        </w:tc>
      </w:tr>
      <w:tr>
        <w:tc>
          <w:tcPr>
            <w:tcW w:type="dxa" w:w="5040"/>
            <w:vAlign w:val="center"/>
          </w:tcPr>
          <w:p>
            <w:r/>
            <w:r>
              <w:rPr>
                <w:rFonts w:ascii="Arial" w:hAnsi="Arial"/>
                <w:b w:val="0"/>
                <w:sz w:val="18"/>
              </w:rPr>
              <w:t>Raman / SERS measurement</w:t>
            </w:r>
          </w:p>
        </w:tc>
        <w:tc>
          <w:tcPr>
            <w:tcW w:type="dxa" w:w="5040"/>
            <w:vAlign w:val="center"/>
          </w:tcPr>
          <w:p>
            <w:r/>
            <w:r>
              <w:rPr>
                <w:rFonts w:ascii="Arial" w:hAnsi="Arial"/>
                <w:b w:val="0"/>
                <w:sz w:val="18"/>
              </w:rPr>
              <w:t>Confirms SERS signal enhancement and spectral response</w:t>
            </w:r>
          </w:p>
        </w:tc>
      </w:tr>
      <w:tr>
        <w:tc>
          <w:tcPr>
            <w:tcW w:type="dxa" w:w="5040"/>
            <w:vAlign w:val="center"/>
          </w:tcPr>
          <w:p>
            <w:r/>
            <w:r>
              <w:rPr>
                <w:rFonts w:ascii="Arial" w:hAnsi="Arial"/>
                <w:b w:val="0"/>
                <w:sz w:val="18"/>
              </w:rPr>
              <w:t>UV-Vis / fluorescence / DLS / zeta potential</w:t>
            </w:r>
          </w:p>
        </w:tc>
        <w:tc>
          <w:tcPr>
            <w:tcW w:type="dxa" w:w="5040"/>
            <w:vAlign w:val="center"/>
          </w:tcPr>
          <w:p>
            <w:r/>
            <w:r>
              <w:rPr>
                <w:rFonts w:ascii="Arial" w:hAnsi="Arial"/>
                <w:b w:val="0"/>
                <w:sz w:val="18"/>
              </w:rPr>
              <w:t>Supports probe characterization and stability assessment</w:t>
            </w:r>
          </w:p>
        </w:tc>
      </w:tr>
      <w:tr>
        <w:tc>
          <w:tcPr>
            <w:tcW w:type="dxa" w:w="5040"/>
            <w:vAlign w:val="center"/>
          </w:tcPr>
          <w:p>
            <w:r/>
            <w:r>
              <w:rPr>
                <w:rFonts w:ascii="Arial" w:hAnsi="Arial"/>
                <w:b w:val="0"/>
                <w:sz w:val="18"/>
              </w:rPr>
              <w:t>Centrifugation or magnetic separation</w:t>
            </w:r>
          </w:p>
        </w:tc>
        <w:tc>
          <w:tcPr>
            <w:tcW w:type="dxa" w:w="5040"/>
            <w:vAlign w:val="center"/>
          </w:tcPr>
          <w:p>
            <w:r/>
            <w:r>
              <w:rPr>
                <w:rFonts w:ascii="Arial" w:hAnsi="Arial"/>
                <w:b w:val="0"/>
                <w:sz w:val="18"/>
              </w:rPr>
              <w:t>Removal of unbound antibody, linker, or blocking agent</w:t>
            </w:r>
          </w:p>
        </w:tc>
      </w:tr>
      <w:tr>
        <w:tc>
          <w:tcPr>
            <w:tcW w:type="dxa" w:w="5040"/>
            <w:vAlign w:val="center"/>
          </w:tcPr>
          <w:p>
            <w:r/>
            <w:r>
              <w:rPr>
                <w:rFonts w:ascii="Arial" w:hAnsi="Arial"/>
                <w:b w:val="0"/>
                <w:sz w:val="18"/>
              </w:rPr>
              <w:t>Antigen binding assay</w:t>
            </w:r>
          </w:p>
        </w:tc>
        <w:tc>
          <w:tcPr>
            <w:tcW w:type="dxa" w:w="5040"/>
            <w:vAlign w:val="center"/>
          </w:tcPr>
          <w:p>
            <w:r/>
            <w:r>
              <w:rPr>
                <w:rFonts w:ascii="Arial" w:hAnsi="Arial"/>
                <w:b w:val="0"/>
                <w:sz w:val="18"/>
              </w:rPr>
              <w:t>Checks functional recognition performance</w:t>
            </w:r>
          </w:p>
        </w:tc>
      </w:tr>
      <w:tr>
        <w:tc>
          <w:tcPr>
            <w:tcW w:type="dxa" w:w="5040"/>
            <w:vAlign w:val="center"/>
          </w:tcPr>
          <w:p>
            <w:r/>
            <w:r>
              <w:rPr>
                <w:rFonts w:ascii="Arial" w:hAnsi="Arial"/>
                <w:b w:val="0"/>
                <w:sz w:val="18"/>
              </w:rPr>
              <w:t>Protein quantification</w:t>
            </w:r>
          </w:p>
        </w:tc>
        <w:tc>
          <w:tcPr>
            <w:tcW w:type="dxa" w:w="5040"/>
            <w:vAlign w:val="center"/>
          </w:tcPr>
          <w:p>
            <w:r/>
            <w:r>
              <w:rPr>
                <w:rFonts w:ascii="Arial" w:hAnsi="Arial"/>
                <w:b w:val="0"/>
                <w:sz w:val="18"/>
              </w:rPr>
              <w:t>Estimates antibody attachment or remaining free antibody</w:t>
            </w:r>
          </w:p>
        </w:tc>
      </w:tr>
      <w:tr>
        <w:tc>
          <w:tcPr>
            <w:tcW w:type="dxa" w:w="5040"/>
            <w:vAlign w:val="center"/>
          </w:tcPr>
          <w:p>
            <w:r/>
            <w:r>
              <w:rPr>
                <w:rFonts w:ascii="Arial" w:hAnsi="Arial"/>
                <w:b w:val="0"/>
                <w:sz w:val="18"/>
              </w:rPr>
              <w:t>TEM / SEM</w:t>
            </w:r>
          </w:p>
        </w:tc>
        <w:tc>
          <w:tcPr>
            <w:tcW w:type="dxa" w:w="5040"/>
            <w:vAlign w:val="center"/>
          </w:tcPr>
          <w:p>
            <w:r/>
            <w:r>
              <w:rPr>
                <w:rFonts w:ascii="Arial" w:hAnsi="Arial"/>
                <w:b w:val="0"/>
                <w:sz w:val="18"/>
              </w:rPr>
              <w:t>Observes morphology and aggregation state</w:t>
            </w:r>
          </w:p>
        </w:tc>
      </w:tr>
      <w:tr>
        <w:tc>
          <w:tcPr>
            <w:tcW w:type="dxa" w:w="5040"/>
            <w:vAlign w:val="center"/>
          </w:tcPr>
          <w:p>
            <w:r/>
            <w:r>
              <w:rPr>
                <w:rFonts w:ascii="Arial" w:hAnsi="Arial"/>
                <w:b w:val="0"/>
                <w:sz w:val="18"/>
              </w:rPr>
              <w:t>Sterility and biosafety testing</w:t>
            </w:r>
          </w:p>
        </w:tc>
        <w:tc>
          <w:tcPr>
            <w:tcW w:type="dxa" w:w="5040"/>
            <w:vAlign w:val="center"/>
          </w:tcPr>
          <w:p>
            <w:r/>
            <w:r>
              <w:rPr>
                <w:rFonts w:ascii="Arial" w:hAnsi="Arial"/>
                <w:b w:val="0"/>
                <w:sz w:val="18"/>
              </w:rPr>
              <w:t>Required for higher-level biological use</w:t>
            </w:r>
          </w:p>
        </w:tc>
      </w:tr>
    </w:tbl>
    <w:p/>
    <w:p>
      <w:pPr>
        <w:pStyle w:val="Heading1"/>
      </w:pPr>
      <w:r>
        <w:rPr>
          <w:rFonts w:ascii="Arial" w:hAnsi="Arial"/>
        </w:rPr>
        <w:t>2. Purpose of This Supporting Information</w:t>
      </w:r>
    </w:p>
    <w:p>
      <w:pPr>
        <w:jc w:val="both"/>
      </w:pPr>
      <w:r>
        <w:rPr>
          <w:rFonts w:ascii="Arial" w:hAnsi="Arial"/>
          <w:sz w:val="21"/>
        </w:rPr>
        <w:t>The main Protoly protocol provides the operational content required for the protocol page. This supporting document explains the scientific reasoning and project intent behind the SERS-ready nanoparticle-antibody probe workflow. It is meant to help readers understand why the protocol was selected, what it demonstrates, what the automation layer can support, and what must be validated externally.</w:t>
      </w:r>
    </w:p>
    <w:p>
      <w:pPr>
        <w:jc w:val="both"/>
      </w:pPr>
      <w:r>
        <w:rPr>
          <w:rFonts w:ascii="Arial" w:hAnsi="Arial"/>
          <w:sz w:val="21"/>
        </w:rPr>
        <w:t>The document is especially useful for webinar participants because SERS probe preparation connects nanomaterials, antibody conjugation, surface chemistry, antigen recognition, and analytical sensing. Without additional context, the protocol may look like a simple reagent-mixing sequence. In reality, the method represents an early-stage model for building functional nanoprobes that can later be tested using Raman spectroscopy and biological recognition assays.</w:t>
      </w:r>
    </w:p>
    <w:p>
      <w:pPr>
        <w:pStyle w:val="Heading1"/>
      </w:pPr>
      <w:r>
        <w:rPr>
          <w:rFonts w:ascii="Arial" w:hAnsi="Arial"/>
        </w:rPr>
        <w:t>3. Overall Concept of the Protocol</w:t>
      </w:r>
    </w:p>
    <w:p>
      <w:pPr>
        <w:jc w:val="both"/>
      </w:pPr>
      <w:r>
        <w:rPr>
          <w:rFonts w:ascii="Arial" w:hAnsi="Arial"/>
          <w:sz w:val="21"/>
        </w:rPr>
        <w:t>Surface-enhanced Raman scattering, or SERS, is based on the ability of plasmonic nanostructures such as gold or silver nanoparticles to amplify Raman signals from molecules located near their surface. When such nanoparticles are functionalized with antibodies, they can be used as recognition probes for antigen-binding studies. The antibody gives biological targeting ability, while the nanoparticle surface provides the SERS-active platform.</w:t>
      </w:r>
    </w:p>
    <w:p>
      <w:pPr>
        <w:jc w:val="both"/>
      </w:pPr>
      <w:r>
        <w:rPr>
          <w:rFonts w:ascii="Arial" w:hAnsi="Arial"/>
          <w:sz w:val="21"/>
        </w:rPr>
        <w:t>The present protocol does not claim to complete a diagnostic test. Instead, it demonstrates a structured preparation route for developing SERS-ready nanoparticle-antibody probes at the research and model-development stage. The central workflow includes nanoparticle dispersion handling, optional surface conditioning, linker or adsorption-based antibody attachment, blocking, stabilization, washing or purification, and external SERS/antigen-recognition testing.</w:t>
      </w:r>
    </w:p>
    <w:p>
      <w:pPr>
        <w:jc w:val="both"/>
      </w:pPr>
      <w:r>
        <w:rPr>
          <w:rFonts w:ascii="Arial" w:hAnsi="Arial"/>
          <w:sz w:val="21"/>
        </w:rPr>
        <w:t>The value of Protoly and NSL is to organize the preparation sequence into controlled, repeatable steps. This helps users understand the relationship between process variables and final probe quality, even when high-end spectral and biological validation remains external.</w:t>
      </w:r>
    </w:p>
    <w:p>
      <w:pPr>
        <w:pStyle w:val="Heading1"/>
      </w:pPr>
      <w:r>
        <w:rPr>
          <w:rFonts w:ascii="Arial" w:hAnsi="Arial"/>
        </w:rPr>
        <w:t>4. Why SERS-Ready Nanoparticle-Antibody Probes Were Selected</w:t>
      </w:r>
    </w:p>
    <w:p>
      <w:pPr>
        <w:jc w:val="both"/>
      </w:pPr>
      <w:r>
        <w:rPr>
          <w:rFonts w:ascii="Arial" w:hAnsi="Arial"/>
          <w:sz w:val="21"/>
        </w:rPr>
        <w:t>This protocol is a strong addition to the Protoly library because it combines material preparation with biological recognition. It moves beyond simple nanoparticle synthesis and shows how nanoparticles can be converted into functional bioanalytical probes.</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rFonts w:ascii="Arial" w:hAnsi="Arial"/>
                <w:b/>
                <w:sz w:val="18"/>
              </w:rPr>
              <w:t>Reason for Selection</w:t>
            </w:r>
          </w:p>
        </w:tc>
        <w:tc>
          <w:tcPr>
            <w:tcW w:type="dxa" w:w="5040"/>
            <w:vAlign w:val="center"/>
            <w:shd w:fill="D9EAF7"/>
          </w:tcPr>
          <w:p>
            <w:r/>
            <w:r>
              <w:rPr>
                <w:rFonts w:ascii="Arial" w:hAnsi="Arial"/>
                <w:b/>
                <w:sz w:val="18"/>
              </w:rPr>
              <w:t>Relevance to Protoly / Webinar</w:t>
            </w:r>
          </w:p>
        </w:tc>
      </w:tr>
      <w:tr>
        <w:tc>
          <w:tcPr>
            <w:tcW w:type="dxa" w:w="5040"/>
            <w:vAlign w:val="center"/>
          </w:tcPr>
          <w:p>
            <w:r/>
            <w:r>
              <w:rPr>
                <w:rFonts w:ascii="Arial" w:hAnsi="Arial"/>
                <w:b w:val="0"/>
                <w:sz w:val="18"/>
              </w:rPr>
              <w:t>Links nanotechnology with immunoassay concepts</w:t>
            </w:r>
          </w:p>
        </w:tc>
        <w:tc>
          <w:tcPr>
            <w:tcW w:type="dxa" w:w="5040"/>
            <w:vAlign w:val="center"/>
          </w:tcPr>
          <w:p>
            <w:r/>
            <w:r>
              <w:rPr>
                <w:rFonts w:ascii="Arial" w:hAnsi="Arial"/>
                <w:b w:val="0"/>
                <w:sz w:val="18"/>
              </w:rPr>
              <w:t>Demonstrates conversion of a nanoparticle into a recognition probe</w:t>
            </w:r>
          </w:p>
        </w:tc>
      </w:tr>
      <w:tr>
        <w:tc>
          <w:tcPr>
            <w:tcW w:type="dxa" w:w="5040"/>
            <w:vAlign w:val="center"/>
          </w:tcPr>
          <w:p>
            <w:r/>
            <w:r>
              <w:rPr>
                <w:rFonts w:ascii="Arial" w:hAnsi="Arial"/>
                <w:b w:val="0"/>
                <w:sz w:val="18"/>
              </w:rPr>
              <w:t>Scientifically modern and attractive</w:t>
            </w:r>
          </w:p>
        </w:tc>
        <w:tc>
          <w:tcPr>
            <w:tcW w:type="dxa" w:w="5040"/>
            <w:vAlign w:val="center"/>
          </w:tcPr>
          <w:p>
            <w:r/>
            <w:r>
              <w:rPr>
                <w:rFonts w:ascii="Arial" w:hAnsi="Arial"/>
                <w:b w:val="0"/>
                <w:sz w:val="18"/>
              </w:rPr>
              <w:t>SERS, biosensing, and antigen detection are high-interest topics</w:t>
            </w:r>
          </w:p>
        </w:tc>
      </w:tr>
      <w:tr>
        <w:tc>
          <w:tcPr>
            <w:tcW w:type="dxa" w:w="5040"/>
            <w:vAlign w:val="center"/>
          </w:tcPr>
          <w:p>
            <w:r/>
            <w:r>
              <w:rPr>
                <w:rFonts w:ascii="Arial" w:hAnsi="Arial"/>
                <w:b w:val="0"/>
                <w:sz w:val="18"/>
              </w:rPr>
              <w:t>Suitable for automation-assisted workflows</w:t>
            </w:r>
          </w:p>
        </w:tc>
        <w:tc>
          <w:tcPr>
            <w:tcW w:type="dxa" w:w="5040"/>
            <w:vAlign w:val="center"/>
          </w:tcPr>
          <w:p>
            <w:r/>
            <w:r>
              <w:rPr>
                <w:rFonts w:ascii="Arial" w:hAnsi="Arial"/>
                <w:b w:val="0"/>
                <w:sz w:val="18"/>
              </w:rPr>
              <w:t>Many steps involve timed additions, mixing, incubation, and washing</w:t>
            </w:r>
          </w:p>
        </w:tc>
      </w:tr>
      <w:tr>
        <w:tc>
          <w:tcPr>
            <w:tcW w:type="dxa" w:w="5040"/>
            <w:vAlign w:val="center"/>
          </w:tcPr>
          <w:p>
            <w:r/>
            <w:r>
              <w:rPr>
                <w:rFonts w:ascii="Arial" w:hAnsi="Arial"/>
                <w:b w:val="0"/>
                <w:sz w:val="18"/>
              </w:rPr>
              <w:t>Allows safe model demonstrations</w:t>
            </w:r>
          </w:p>
        </w:tc>
        <w:tc>
          <w:tcPr>
            <w:tcW w:type="dxa" w:w="5040"/>
            <w:vAlign w:val="center"/>
          </w:tcPr>
          <w:p>
            <w:r/>
            <w:r>
              <w:rPr>
                <w:rFonts w:ascii="Arial" w:hAnsi="Arial"/>
                <w:b w:val="0"/>
                <w:sz w:val="18"/>
              </w:rPr>
              <w:t>Can use non-pathogenic model antigen-antibody systems</w:t>
            </w:r>
          </w:p>
        </w:tc>
      </w:tr>
      <w:tr>
        <w:tc>
          <w:tcPr>
            <w:tcW w:type="dxa" w:w="5040"/>
            <w:vAlign w:val="center"/>
          </w:tcPr>
          <w:p>
            <w:r/>
            <w:r>
              <w:rPr>
                <w:rFonts w:ascii="Arial" w:hAnsi="Arial"/>
                <w:b w:val="0"/>
                <w:sz w:val="18"/>
              </w:rPr>
              <w:t>Clear distinction from other protocols</w:t>
            </w:r>
          </w:p>
        </w:tc>
        <w:tc>
          <w:tcPr>
            <w:tcW w:type="dxa" w:w="5040"/>
            <w:vAlign w:val="center"/>
          </w:tcPr>
          <w:p>
            <w:r/>
            <w:r>
              <w:rPr>
                <w:rFonts w:ascii="Arial" w:hAnsi="Arial"/>
                <w:b w:val="0"/>
                <w:sz w:val="18"/>
              </w:rPr>
              <w:t>Focuses on Raman-active probe development rather than only synthesis</w:t>
            </w:r>
          </w:p>
        </w:tc>
      </w:tr>
      <w:tr>
        <w:tc>
          <w:tcPr>
            <w:tcW w:type="dxa" w:w="5040"/>
            <w:vAlign w:val="center"/>
          </w:tcPr>
          <w:p>
            <w:r/>
            <w:r>
              <w:rPr>
                <w:rFonts w:ascii="Arial" w:hAnsi="Arial"/>
                <w:b w:val="0"/>
                <w:sz w:val="18"/>
              </w:rPr>
              <w:t>Expandable into advanced studies</w:t>
            </w:r>
          </w:p>
        </w:tc>
        <w:tc>
          <w:tcPr>
            <w:tcW w:type="dxa" w:w="5040"/>
            <w:vAlign w:val="center"/>
          </w:tcPr>
          <w:p>
            <w:r/>
            <w:r>
              <w:rPr>
                <w:rFonts w:ascii="Arial" w:hAnsi="Arial"/>
                <w:b w:val="0"/>
                <w:sz w:val="18"/>
              </w:rPr>
              <w:t>Can later include Raman spectra, calibration curves, and specificity tests</w:t>
            </w:r>
          </w:p>
        </w:tc>
      </w:tr>
    </w:tbl>
    <w:p/>
    <w:p>
      <w:pPr>
        <w:pStyle w:val="Heading1"/>
      </w:pPr>
      <w:r>
        <w:rPr>
          <w:rFonts w:ascii="Arial" w:hAnsi="Arial"/>
        </w:rPr>
        <w:t>5. Scientific Background</w:t>
      </w:r>
    </w:p>
    <w:p>
      <w:pPr>
        <w:jc w:val="both"/>
      </w:pPr>
      <w:r>
        <w:rPr>
          <w:rFonts w:ascii="Arial" w:hAnsi="Arial"/>
          <w:sz w:val="21"/>
        </w:rPr>
        <w:t>Raman spectroscopy provides molecular information based on vibrational transitions, but normal Raman signals are often weak. SERS enhances these signals when molecules are located close to plasmonic nanostructures, especially gold or silver nanoparticles. The enhancement depends on nanoparticle composition, size, shape, surface chemistry, aggregation state, and distance between the analyte and the metal surface.</w:t>
      </w:r>
    </w:p>
    <w:p>
      <w:pPr>
        <w:jc w:val="both"/>
      </w:pPr>
      <w:r>
        <w:rPr>
          <w:rFonts w:ascii="Arial" w:hAnsi="Arial"/>
          <w:sz w:val="21"/>
        </w:rPr>
        <w:t>In a nanoparticle-antibody probe, the metallic nanoparticle acts as the SERS-active structure. The antibody provides biological specificity by binding to a target antigen. Depending on the assay design, a Raman reporter molecule may also be associated with the nanoparticle surface, creating a labelled SERS probe. Blocking agents may be added to reduce non-specific interactions and improve colloidal stability.</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rFonts w:ascii="Arial" w:hAnsi="Arial"/>
                <w:b/>
                <w:sz w:val="18"/>
              </w:rPr>
              <w:t>Component</w:t>
            </w:r>
          </w:p>
        </w:tc>
        <w:tc>
          <w:tcPr>
            <w:tcW w:type="dxa" w:w="5040"/>
            <w:vAlign w:val="center"/>
            <w:shd w:fill="D9EAF7"/>
          </w:tcPr>
          <w:p>
            <w:r/>
            <w:r>
              <w:rPr>
                <w:rFonts w:ascii="Arial" w:hAnsi="Arial"/>
                <w:b/>
                <w:sz w:val="18"/>
              </w:rPr>
              <w:t>Function in the Probe System</w:t>
            </w:r>
          </w:p>
        </w:tc>
      </w:tr>
      <w:tr>
        <w:tc>
          <w:tcPr>
            <w:tcW w:type="dxa" w:w="5040"/>
            <w:vAlign w:val="center"/>
          </w:tcPr>
          <w:p>
            <w:r/>
            <w:r>
              <w:rPr>
                <w:rFonts w:ascii="Arial" w:hAnsi="Arial"/>
                <w:b w:val="0"/>
                <w:sz w:val="18"/>
              </w:rPr>
              <w:t>Gold or silver nanoparticle</w:t>
            </w:r>
          </w:p>
        </w:tc>
        <w:tc>
          <w:tcPr>
            <w:tcW w:type="dxa" w:w="5040"/>
            <w:vAlign w:val="center"/>
          </w:tcPr>
          <w:p>
            <w:r/>
            <w:r>
              <w:rPr>
                <w:rFonts w:ascii="Arial" w:hAnsi="Arial"/>
                <w:b w:val="0"/>
                <w:sz w:val="18"/>
              </w:rPr>
              <w:t>Provides plasmonic surface for SERS enhancement</w:t>
            </w:r>
          </w:p>
        </w:tc>
      </w:tr>
      <w:tr>
        <w:tc>
          <w:tcPr>
            <w:tcW w:type="dxa" w:w="5040"/>
            <w:vAlign w:val="center"/>
          </w:tcPr>
          <w:p>
            <w:r/>
            <w:r>
              <w:rPr>
                <w:rFonts w:ascii="Arial" w:hAnsi="Arial"/>
                <w:b w:val="0"/>
                <w:sz w:val="18"/>
              </w:rPr>
              <w:t>Antibody</w:t>
            </w:r>
          </w:p>
        </w:tc>
        <w:tc>
          <w:tcPr>
            <w:tcW w:type="dxa" w:w="5040"/>
            <w:vAlign w:val="center"/>
          </w:tcPr>
          <w:p>
            <w:r/>
            <w:r>
              <w:rPr>
                <w:rFonts w:ascii="Arial" w:hAnsi="Arial"/>
                <w:b w:val="0"/>
                <w:sz w:val="18"/>
              </w:rPr>
              <w:t>Provides antigen-recognition capability</w:t>
            </w:r>
          </w:p>
        </w:tc>
      </w:tr>
      <w:tr>
        <w:tc>
          <w:tcPr>
            <w:tcW w:type="dxa" w:w="5040"/>
            <w:vAlign w:val="center"/>
          </w:tcPr>
          <w:p>
            <w:r/>
            <w:r>
              <w:rPr>
                <w:rFonts w:ascii="Arial" w:hAnsi="Arial"/>
                <w:b w:val="0"/>
                <w:sz w:val="18"/>
              </w:rPr>
              <w:t>Linker or surface-conditioning agent</w:t>
            </w:r>
          </w:p>
        </w:tc>
        <w:tc>
          <w:tcPr>
            <w:tcW w:type="dxa" w:w="5040"/>
            <w:vAlign w:val="center"/>
          </w:tcPr>
          <w:p>
            <w:r/>
            <w:r>
              <w:rPr>
                <w:rFonts w:ascii="Arial" w:hAnsi="Arial"/>
                <w:b w:val="0"/>
                <w:sz w:val="18"/>
              </w:rPr>
              <w:t>Supports antibody attachment to nanoparticle surface</w:t>
            </w:r>
          </w:p>
        </w:tc>
      </w:tr>
      <w:tr>
        <w:tc>
          <w:tcPr>
            <w:tcW w:type="dxa" w:w="5040"/>
            <w:vAlign w:val="center"/>
          </w:tcPr>
          <w:p>
            <w:r/>
            <w:r>
              <w:rPr>
                <w:rFonts w:ascii="Arial" w:hAnsi="Arial"/>
                <w:b w:val="0"/>
                <w:sz w:val="18"/>
              </w:rPr>
              <w:t>Blocking agent</w:t>
            </w:r>
          </w:p>
        </w:tc>
        <w:tc>
          <w:tcPr>
            <w:tcW w:type="dxa" w:w="5040"/>
            <w:vAlign w:val="center"/>
          </w:tcPr>
          <w:p>
            <w:r/>
            <w:r>
              <w:rPr>
                <w:rFonts w:ascii="Arial" w:hAnsi="Arial"/>
                <w:b w:val="0"/>
                <w:sz w:val="18"/>
              </w:rPr>
              <w:t>Reduces non-specific binding and supports stability</w:t>
            </w:r>
          </w:p>
        </w:tc>
      </w:tr>
      <w:tr>
        <w:tc>
          <w:tcPr>
            <w:tcW w:type="dxa" w:w="5040"/>
            <w:vAlign w:val="center"/>
          </w:tcPr>
          <w:p>
            <w:r/>
            <w:r>
              <w:rPr>
                <w:rFonts w:ascii="Arial" w:hAnsi="Arial"/>
                <w:b w:val="0"/>
                <w:sz w:val="18"/>
              </w:rPr>
              <w:t>Buffer medium</w:t>
            </w:r>
          </w:p>
        </w:tc>
        <w:tc>
          <w:tcPr>
            <w:tcW w:type="dxa" w:w="5040"/>
            <w:vAlign w:val="center"/>
          </w:tcPr>
          <w:p>
            <w:r/>
            <w:r>
              <w:rPr>
                <w:rFonts w:ascii="Arial" w:hAnsi="Arial"/>
                <w:b w:val="0"/>
                <w:sz w:val="18"/>
              </w:rPr>
              <w:t>Maintains suitable environment for antibody and nanoparticle dispersion</w:t>
            </w:r>
          </w:p>
        </w:tc>
      </w:tr>
      <w:tr>
        <w:tc>
          <w:tcPr>
            <w:tcW w:type="dxa" w:w="5040"/>
            <w:vAlign w:val="center"/>
          </w:tcPr>
          <w:p>
            <w:r/>
            <w:r>
              <w:rPr>
                <w:rFonts w:ascii="Arial" w:hAnsi="Arial"/>
                <w:b w:val="0"/>
                <w:sz w:val="18"/>
              </w:rPr>
              <w:t>Raman reporter, if used</w:t>
            </w:r>
          </w:p>
        </w:tc>
        <w:tc>
          <w:tcPr>
            <w:tcW w:type="dxa" w:w="5040"/>
            <w:vAlign w:val="center"/>
          </w:tcPr>
          <w:p>
            <w:r/>
            <w:r>
              <w:rPr>
                <w:rFonts w:ascii="Arial" w:hAnsi="Arial"/>
                <w:b w:val="0"/>
                <w:sz w:val="18"/>
              </w:rPr>
              <w:t>Provides a characteristic spectral signal for detection</w:t>
            </w:r>
          </w:p>
        </w:tc>
      </w:tr>
    </w:tbl>
    <w:p/>
    <w:p>
      <w:pPr>
        <w:pStyle w:val="Heading1"/>
      </w:pPr>
      <w:r>
        <w:rPr>
          <w:rFonts w:ascii="Arial" w:hAnsi="Arial"/>
        </w:rPr>
        <w:t>6. Probe Development Intent</w:t>
      </w:r>
    </w:p>
    <w:p>
      <w:pPr>
        <w:jc w:val="both"/>
      </w:pPr>
      <w:r>
        <w:rPr>
          <w:rFonts w:ascii="Arial" w:hAnsi="Arial"/>
          <w:sz w:val="21"/>
        </w:rPr>
        <w:t>The intent of this protocol is to create a research-scale SERS-ready nanoparticle-antibody probe model. The prepared probe can be used later for antigen-recognition demonstrations, spectral testing, and early biosensing studies. The workflow is not intended to create a clinical diagnostic kit, certified immunoassay, or validated medical device.</w:t>
      </w:r>
    </w:p>
    <w:p>
      <w:pPr>
        <w:jc w:val="both"/>
      </w:pPr>
      <w:r>
        <w:rPr>
          <w:rFonts w:ascii="Arial" w:hAnsi="Arial"/>
          <w:sz w:val="21"/>
        </w:rPr>
        <w:t>For webinar and educational use, the best approach is to use a safe model antibody-antigen pair. This allows the concept of specific binding to be explained without using infectious, hazardous, or clinical samples. The prepared nanoparticle-antibody probe should be considered an experimental construct that requires external confirmation before any analytical claim is made.</w:t>
      </w:r>
    </w:p>
    <w:p>
      <w:pPr>
        <w:pStyle w:val="Heading1"/>
      </w:pPr>
      <w:r>
        <w:rPr>
          <w:rFonts w:ascii="Arial" w:hAnsi="Arial"/>
        </w:rPr>
        <w:t>7. Difference from Protocol 12</w:t>
      </w:r>
    </w:p>
    <w:p>
      <w:pPr>
        <w:jc w:val="both"/>
      </w:pPr>
      <w:r>
        <w:rPr>
          <w:rFonts w:ascii="Arial" w:hAnsi="Arial"/>
          <w:sz w:val="21"/>
        </w:rPr>
        <w:t>Protocol 12 focuses on silver nanoparticle-antibody conjugate preparation for immunoassay probe development. Protocol 13 is different because it specifically adds the SERS-readiness concept. The probe is not only a nanoparticle-antibody conjugate; it is designed as a plasmonic platform that may later produce Raman signal enhancement.</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D9EAF7"/>
          </w:tcPr>
          <w:p>
            <w:r/>
            <w:r>
              <w:rPr>
                <w:rFonts w:ascii="Arial" w:hAnsi="Arial"/>
                <w:b/>
                <w:sz w:val="18"/>
              </w:rPr>
              <w:t>Point</w:t>
            </w:r>
          </w:p>
        </w:tc>
        <w:tc>
          <w:tcPr>
            <w:tcW w:type="dxa" w:w="3360"/>
            <w:vAlign w:val="center"/>
            <w:shd w:fill="D9EAF7"/>
          </w:tcPr>
          <w:p>
            <w:r/>
            <w:r>
              <w:rPr>
                <w:rFonts w:ascii="Arial" w:hAnsi="Arial"/>
                <w:b/>
                <w:sz w:val="18"/>
              </w:rPr>
              <w:t>Protocol 12: AgNP-Antibody Conjugate</w:t>
            </w:r>
          </w:p>
        </w:tc>
        <w:tc>
          <w:tcPr>
            <w:tcW w:type="dxa" w:w="3360"/>
            <w:vAlign w:val="center"/>
            <w:shd w:fill="D9EAF7"/>
          </w:tcPr>
          <w:p>
            <w:r/>
            <w:r>
              <w:rPr>
                <w:rFonts w:ascii="Arial" w:hAnsi="Arial"/>
                <w:b/>
                <w:sz w:val="18"/>
              </w:rPr>
              <w:t>Protocol 13: SERS-Ready Nanoparticle-Antibody Probe</w:t>
            </w:r>
          </w:p>
        </w:tc>
      </w:tr>
      <w:tr>
        <w:tc>
          <w:tcPr>
            <w:tcW w:type="dxa" w:w="3360"/>
            <w:vAlign w:val="center"/>
          </w:tcPr>
          <w:p>
            <w:r/>
            <w:r>
              <w:rPr>
                <w:rFonts w:ascii="Arial" w:hAnsi="Arial"/>
                <w:b w:val="0"/>
                <w:sz w:val="18"/>
              </w:rPr>
              <w:t>Main output</w:t>
            </w:r>
          </w:p>
        </w:tc>
        <w:tc>
          <w:tcPr>
            <w:tcW w:type="dxa" w:w="3360"/>
            <w:vAlign w:val="center"/>
          </w:tcPr>
          <w:p>
            <w:r/>
            <w:r>
              <w:rPr>
                <w:rFonts w:ascii="Arial" w:hAnsi="Arial"/>
                <w:b w:val="0"/>
                <w:sz w:val="18"/>
              </w:rPr>
              <w:t>Antibody-conjugated silver nanoparticle</w:t>
            </w:r>
          </w:p>
        </w:tc>
        <w:tc>
          <w:tcPr>
            <w:tcW w:type="dxa" w:w="3360"/>
            <w:vAlign w:val="center"/>
          </w:tcPr>
          <w:p>
            <w:r/>
            <w:r>
              <w:rPr>
                <w:rFonts w:ascii="Arial" w:hAnsi="Arial"/>
                <w:b w:val="0"/>
                <w:sz w:val="18"/>
              </w:rPr>
              <w:t>SERS-oriented gold/silver nanoparticle-antibody probe</w:t>
            </w:r>
          </w:p>
        </w:tc>
      </w:tr>
      <w:tr>
        <w:tc>
          <w:tcPr>
            <w:tcW w:type="dxa" w:w="3360"/>
            <w:vAlign w:val="center"/>
          </w:tcPr>
          <w:p>
            <w:r/>
            <w:r>
              <w:rPr>
                <w:rFonts w:ascii="Arial" w:hAnsi="Arial"/>
                <w:b w:val="0"/>
                <w:sz w:val="18"/>
              </w:rPr>
              <w:t>Primary focus</w:t>
            </w:r>
          </w:p>
        </w:tc>
        <w:tc>
          <w:tcPr>
            <w:tcW w:type="dxa" w:w="3360"/>
            <w:vAlign w:val="center"/>
          </w:tcPr>
          <w:p>
            <w:r/>
            <w:r>
              <w:rPr>
                <w:rFonts w:ascii="Arial" w:hAnsi="Arial"/>
                <w:b w:val="0"/>
                <w:sz w:val="18"/>
              </w:rPr>
              <w:t>Immunoassay probe preparation</w:t>
            </w:r>
          </w:p>
        </w:tc>
        <w:tc>
          <w:tcPr>
            <w:tcW w:type="dxa" w:w="3360"/>
            <w:vAlign w:val="center"/>
          </w:tcPr>
          <w:p>
            <w:r/>
            <w:r>
              <w:rPr>
                <w:rFonts w:ascii="Arial" w:hAnsi="Arial"/>
                <w:b w:val="0"/>
                <w:sz w:val="18"/>
              </w:rPr>
              <w:t>Raman-active recognition probe preparation</w:t>
            </w:r>
          </w:p>
        </w:tc>
      </w:tr>
      <w:tr>
        <w:tc>
          <w:tcPr>
            <w:tcW w:type="dxa" w:w="3360"/>
            <w:vAlign w:val="center"/>
          </w:tcPr>
          <w:p>
            <w:r/>
            <w:r>
              <w:rPr>
                <w:rFonts w:ascii="Arial" w:hAnsi="Arial"/>
                <w:b w:val="0"/>
                <w:sz w:val="18"/>
              </w:rPr>
              <w:t>Key external test</w:t>
            </w:r>
          </w:p>
        </w:tc>
        <w:tc>
          <w:tcPr>
            <w:tcW w:type="dxa" w:w="3360"/>
            <w:vAlign w:val="center"/>
          </w:tcPr>
          <w:p>
            <w:r/>
            <w:r>
              <w:rPr>
                <w:rFonts w:ascii="Arial" w:hAnsi="Arial"/>
                <w:b w:val="0"/>
                <w:sz w:val="18"/>
              </w:rPr>
              <w:t>Binding assay or immunoassay response</w:t>
            </w:r>
          </w:p>
        </w:tc>
        <w:tc>
          <w:tcPr>
            <w:tcW w:type="dxa" w:w="3360"/>
            <w:vAlign w:val="center"/>
          </w:tcPr>
          <w:p>
            <w:r/>
            <w:r>
              <w:rPr>
                <w:rFonts w:ascii="Arial" w:hAnsi="Arial"/>
                <w:b w:val="0"/>
                <w:sz w:val="18"/>
              </w:rPr>
              <w:t>Raman/SERS spectral response plus binding test</w:t>
            </w:r>
          </w:p>
        </w:tc>
      </w:tr>
      <w:tr>
        <w:tc>
          <w:tcPr>
            <w:tcW w:type="dxa" w:w="3360"/>
            <w:vAlign w:val="center"/>
          </w:tcPr>
          <w:p>
            <w:r/>
            <w:r>
              <w:rPr>
                <w:rFonts w:ascii="Arial" w:hAnsi="Arial"/>
                <w:b w:val="0"/>
                <w:sz w:val="18"/>
              </w:rPr>
              <w:t>Surface design</w:t>
            </w:r>
          </w:p>
        </w:tc>
        <w:tc>
          <w:tcPr>
            <w:tcW w:type="dxa" w:w="3360"/>
            <w:vAlign w:val="center"/>
          </w:tcPr>
          <w:p>
            <w:r/>
            <w:r>
              <w:rPr>
                <w:rFonts w:ascii="Arial" w:hAnsi="Arial"/>
                <w:b w:val="0"/>
                <w:sz w:val="18"/>
              </w:rPr>
              <w:t>Antibody attachment and stabilization</w:t>
            </w:r>
          </w:p>
        </w:tc>
        <w:tc>
          <w:tcPr>
            <w:tcW w:type="dxa" w:w="3360"/>
            <w:vAlign w:val="center"/>
          </w:tcPr>
          <w:p>
            <w:r/>
            <w:r>
              <w:rPr>
                <w:rFonts w:ascii="Arial" w:hAnsi="Arial"/>
                <w:b w:val="0"/>
                <w:sz w:val="18"/>
              </w:rPr>
              <w:t>Antibody attachment plus SERS surface/reporter considerations</w:t>
            </w:r>
          </w:p>
        </w:tc>
      </w:tr>
      <w:tr>
        <w:tc>
          <w:tcPr>
            <w:tcW w:type="dxa" w:w="3360"/>
            <w:vAlign w:val="center"/>
          </w:tcPr>
          <w:p>
            <w:r/>
            <w:r>
              <w:rPr>
                <w:rFonts w:ascii="Arial" w:hAnsi="Arial"/>
                <w:b w:val="0"/>
                <w:sz w:val="18"/>
              </w:rPr>
              <w:t>Application direction</w:t>
            </w:r>
          </w:p>
        </w:tc>
        <w:tc>
          <w:tcPr>
            <w:tcW w:type="dxa" w:w="3360"/>
            <w:vAlign w:val="center"/>
          </w:tcPr>
          <w:p>
            <w:r/>
            <w:r>
              <w:rPr>
                <w:rFonts w:ascii="Arial" w:hAnsi="Arial"/>
                <w:b w:val="0"/>
                <w:sz w:val="18"/>
              </w:rPr>
              <w:t>Bio-recognition and immunoassay model</w:t>
            </w:r>
          </w:p>
        </w:tc>
        <w:tc>
          <w:tcPr>
            <w:tcW w:type="dxa" w:w="3360"/>
            <w:vAlign w:val="center"/>
          </w:tcPr>
          <w:p>
            <w:r/>
            <w:r>
              <w:rPr>
                <w:rFonts w:ascii="Arial" w:hAnsi="Arial"/>
                <w:b w:val="0"/>
                <w:sz w:val="18"/>
              </w:rPr>
              <w:t>SERS-based antigen recognition model</w:t>
            </w:r>
          </w:p>
        </w:tc>
      </w:tr>
    </w:tbl>
    <w:p/>
    <w:p>
      <w:pPr>
        <w:pStyle w:val="Heading1"/>
      </w:pPr>
      <w:r>
        <w:rPr>
          <w:rFonts w:ascii="Arial" w:hAnsi="Arial"/>
        </w:rPr>
        <w:t>8. Role of Protoly</w:t>
      </w:r>
    </w:p>
    <w:p>
      <w:pPr>
        <w:jc w:val="both"/>
      </w:pPr>
      <w:r>
        <w:rPr>
          <w:rFonts w:ascii="Arial" w:hAnsi="Arial"/>
          <w:sz w:val="21"/>
        </w:rPr>
        <w:t>Protoly provides the protocol-management layer. It allows the user to divide the probe preparation workflow into clear steps such as nanoparticle dispensing, buffer addition, linker addition, antibody incubation, blocking, stabilization, visual documentation, and offline analysis. This structured approach is useful because conjugation workflows are sensitive to timing, ratios, incubation conditions, and mixing intensity.</w:t>
      </w:r>
    </w:p>
    <w:p>
      <w:pPr>
        <w:jc w:val="both"/>
      </w:pPr>
      <w:r>
        <w:rPr>
          <w:rFonts w:ascii="Arial" w:hAnsi="Arial"/>
          <w:sz w:val="21"/>
        </w:rPr>
        <w:t>For repeated experiments, Protoly can help compare different preparation variables, such as antibody concentration, linker amount, incubation time, blocking agent, nanoparticle type, or sonication duration. Each batch can be documented as a separate protocol run with its own observations and downstream characterization results.</w:t>
      </w:r>
    </w:p>
    <w:p>
      <w:pPr>
        <w:pStyle w:val="Heading1"/>
      </w:pPr>
      <w:r>
        <w:rPr>
          <w:rFonts w:ascii="Arial" w:hAnsi="Arial"/>
        </w:rPr>
        <w:t>9. Role of NSL Modules</w:t>
      </w:r>
    </w:p>
    <w:p>
      <w:pPr>
        <w:jc w:val="both"/>
      </w:pPr>
      <w:r>
        <w:rPr>
          <w:rFonts w:ascii="Arial" w:hAnsi="Arial"/>
          <w:sz w:val="21"/>
        </w:rPr>
        <w:t>The NSL platform supports selected physical operations during probe preparation. The strongest NSL contribution is in controlling liquid addition, mixing, waiting, mild temperature support, sonication, and visual documentation. These steps are important because antibody-nanoparticle conjugation can be affected by uncontrolled handling.</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rFonts w:ascii="Arial" w:hAnsi="Arial"/>
                <w:b/>
                <w:sz w:val="18"/>
              </w:rPr>
              <w:t>NSL Module</w:t>
            </w:r>
          </w:p>
        </w:tc>
        <w:tc>
          <w:tcPr>
            <w:tcW w:type="dxa" w:w="5040"/>
            <w:vAlign w:val="center"/>
            <w:shd w:fill="D9EAF7"/>
          </w:tcPr>
          <w:p>
            <w:r/>
            <w:r>
              <w:rPr>
                <w:rFonts w:ascii="Arial" w:hAnsi="Arial"/>
                <w:b/>
                <w:sz w:val="18"/>
              </w:rPr>
              <w:t>Practical Role in Protocol 13</w:t>
            </w:r>
          </w:p>
        </w:tc>
      </w:tr>
      <w:tr>
        <w:tc>
          <w:tcPr>
            <w:tcW w:type="dxa" w:w="5040"/>
            <w:vAlign w:val="center"/>
          </w:tcPr>
          <w:p>
            <w:r/>
            <w:r>
              <w:rPr>
                <w:rFonts w:ascii="Arial" w:hAnsi="Arial"/>
                <w:b w:val="0"/>
                <w:sz w:val="18"/>
              </w:rPr>
              <w:t>Reservoir Dispense</w:t>
            </w:r>
          </w:p>
        </w:tc>
        <w:tc>
          <w:tcPr>
            <w:tcW w:type="dxa" w:w="5040"/>
            <w:vAlign w:val="center"/>
          </w:tcPr>
          <w:p>
            <w:r/>
            <w:r>
              <w:rPr>
                <w:rFonts w:ascii="Arial" w:hAnsi="Arial"/>
                <w:b w:val="0"/>
                <w:sz w:val="18"/>
              </w:rPr>
              <w:t>Adds nanoparticle dispersion, buffer, linker, antibody, blocker, and stabilizer in defined volumes</w:t>
            </w:r>
          </w:p>
        </w:tc>
      </w:tr>
      <w:tr>
        <w:tc>
          <w:tcPr>
            <w:tcW w:type="dxa" w:w="5040"/>
            <w:vAlign w:val="center"/>
          </w:tcPr>
          <w:p>
            <w:r/>
            <w:r>
              <w:rPr>
                <w:rFonts w:ascii="Arial" w:hAnsi="Arial"/>
                <w:b w:val="0"/>
                <w:sz w:val="18"/>
              </w:rPr>
              <w:t>Stirrer</w:t>
            </w:r>
          </w:p>
        </w:tc>
        <w:tc>
          <w:tcPr>
            <w:tcW w:type="dxa" w:w="5040"/>
            <w:vAlign w:val="center"/>
          </w:tcPr>
          <w:p>
            <w:r/>
            <w:r>
              <w:rPr>
                <w:rFonts w:ascii="Arial" w:hAnsi="Arial"/>
                <w:b w:val="0"/>
                <w:sz w:val="18"/>
              </w:rPr>
              <w:t>Maintains gentle mixing during incubation and stabilization</w:t>
            </w:r>
          </w:p>
        </w:tc>
      </w:tr>
      <w:tr>
        <w:tc>
          <w:tcPr>
            <w:tcW w:type="dxa" w:w="5040"/>
            <w:vAlign w:val="center"/>
          </w:tcPr>
          <w:p>
            <w:r/>
            <w:r>
              <w:rPr>
                <w:rFonts w:ascii="Arial" w:hAnsi="Arial"/>
                <w:b w:val="0"/>
                <w:sz w:val="18"/>
              </w:rPr>
              <w:t>Wait</w:t>
            </w:r>
          </w:p>
        </w:tc>
        <w:tc>
          <w:tcPr>
            <w:tcW w:type="dxa" w:w="5040"/>
            <w:vAlign w:val="center"/>
          </w:tcPr>
          <w:p>
            <w:r/>
            <w:r>
              <w:rPr>
                <w:rFonts w:ascii="Arial" w:hAnsi="Arial"/>
                <w:b w:val="0"/>
                <w:sz w:val="18"/>
              </w:rPr>
              <w:t>Provides fixed incubation and maturation periods</w:t>
            </w:r>
          </w:p>
        </w:tc>
      </w:tr>
      <w:tr>
        <w:tc>
          <w:tcPr>
            <w:tcW w:type="dxa" w:w="5040"/>
            <w:vAlign w:val="center"/>
          </w:tcPr>
          <w:p>
            <w:r/>
            <w:r>
              <w:rPr>
                <w:rFonts w:ascii="Arial" w:hAnsi="Arial"/>
                <w:b w:val="0"/>
                <w:sz w:val="18"/>
              </w:rPr>
              <w:t>Heater</w:t>
            </w:r>
          </w:p>
        </w:tc>
        <w:tc>
          <w:tcPr>
            <w:tcW w:type="dxa" w:w="5040"/>
            <w:vAlign w:val="center"/>
          </w:tcPr>
          <w:p>
            <w:r/>
            <w:r>
              <w:rPr>
                <w:rFonts w:ascii="Arial" w:hAnsi="Arial"/>
                <w:b w:val="0"/>
                <w:sz w:val="18"/>
              </w:rPr>
              <w:t>Optional mild conditioning only when antibody stability permits</w:t>
            </w:r>
          </w:p>
        </w:tc>
      </w:tr>
      <w:tr>
        <w:tc>
          <w:tcPr>
            <w:tcW w:type="dxa" w:w="5040"/>
            <w:vAlign w:val="center"/>
          </w:tcPr>
          <w:p>
            <w:r/>
            <w:r>
              <w:rPr>
                <w:rFonts w:ascii="Arial" w:hAnsi="Arial"/>
                <w:b w:val="0"/>
                <w:sz w:val="18"/>
              </w:rPr>
              <w:t>Sonicator</w:t>
            </w:r>
          </w:p>
        </w:tc>
        <w:tc>
          <w:tcPr>
            <w:tcW w:type="dxa" w:w="5040"/>
            <w:vAlign w:val="center"/>
          </w:tcPr>
          <w:p>
            <w:r/>
            <w:r>
              <w:rPr>
                <w:rFonts w:ascii="Arial" w:hAnsi="Arial"/>
                <w:b w:val="0"/>
                <w:sz w:val="18"/>
              </w:rPr>
              <w:t>Optional pre-conjugation dispersion improvement; should be gentle</w:t>
            </w:r>
          </w:p>
        </w:tc>
      </w:tr>
      <w:tr>
        <w:tc>
          <w:tcPr>
            <w:tcW w:type="dxa" w:w="5040"/>
            <w:vAlign w:val="center"/>
          </w:tcPr>
          <w:p>
            <w:r/>
            <w:r>
              <w:rPr>
                <w:rFonts w:ascii="Arial" w:hAnsi="Arial"/>
                <w:b w:val="0"/>
                <w:sz w:val="18"/>
              </w:rPr>
              <w:t>Sonicator Bath Heater</w:t>
            </w:r>
          </w:p>
        </w:tc>
        <w:tc>
          <w:tcPr>
            <w:tcW w:type="dxa" w:w="5040"/>
            <w:vAlign w:val="center"/>
          </w:tcPr>
          <w:p>
            <w:r/>
            <w:r>
              <w:rPr>
                <w:rFonts w:ascii="Arial" w:hAnsi="Arial"/>
                <w:b w:val="0"/>
                <w:sz w:val="18"/>
              </w:rPr>
              <w:t>Optional temperature support during sonication if compatible</w:t>
            </w:r>
          </w:p>
        </w:tc>
      </w:tr>
      <w:tr>
        <w:tc>
          <w:tcPr>
            <w:tcW w:type="dxa" w:w="5040"/>
            <w:vAlign w:val="center"/>
          </w:tcPr>
          <w:p>
            <w:r/>
            <w:r>
              <w:rPr>
                <w:rFonts w:ascii="Arial" w:hAnsi="Arial"/>
                <w:b w:val="0"/>
                <w:sz w:val="18"/>
              </w:rPr>
              <w:t>LED Illumination</w:t>
            </w:r>
          </w:p>
        </w:tc>
        <w:tc>
          <w:tcPr>
            <w:tcW w:type="dxa" w:w="5040"/>
            <w:vAlign w:val="center"/>
          </w:tcPr>
          <w:p>
            <w:r/>
            <w:r>
              <w:rPr>
                <w:rFonts w:ascii="Arial" w:hAnsi="Arial"/>
                <w:b w:val="0"/>
                <w:sz w:val="18"/>
              </w:rPr>
              <w:t>Supports camera viewing under white light</w:t>
            </w:r>
          </w:p>
        </w:tc>
      </w:tr>
      <w:tr>
        <w:tc>
          <w:tcPr>
            <w:tcW w:type="dxa" w:w="5040"/>
            <w:vAlign w:val="center"/>
          </w:tcPr>
          <w:p>
            <w:r/>
            <w:r>
              <w:rPr>
                <w:rFonts w:ascii="Arial" w:hAnsi="Arial"/>
                <w:b w:val="0"/>
                <w:sz w:val="18"/>
              </w:rPr>
              <w:t>Camera</w:t>
            </w:r>
          </w:p>
        </w:tc>
        <w:tc>
          <w:tcPr>
            <w:tcW w:type="dxa" w:w="5040"/>
            <w:vAlign w:val="center"/>
          </w:tcPr>
          <w:p>
            <w:r/>
            <w:r>
              <w:rPr>
                <w:rFonts w:ascii="Arial" w:hAnsi="Arial"/>
                <w:b w:val="0"/>
                <w:sz w:val="18"/>
              </w:rPr>
              <w:t>Records colour change, precipitation, aggregation, and settling</w:t>
            </w:r>
          </w:p>
        </w:tc>
      </w:tr>
      <w:tr>
        <w:tc>
          <w:tcPr>
            <w:tcW w:type="dxa" w:w="5040"/>
            <w:vAlign w:val="center"/>
          </w:tcPr>
          <w:p>
            <w:r/>
            <w:r>
              <w:rPr>
                <w:rFonts w:ascii="Arial" w:hAnsi="Arial"/>
                <w:b w:val="0"/>
                <w:sz w:val="18"/>
              </w:rPr>
              <w:t>Sterilization UV</w:t>
            </w:r>
          </w:p>
        </w:tc>
        <w:tc>
          <w:tcPr>
            <w:tcW w:type="dxa" w:w="5040"/>
            <w:vAlign w:val="center"/>
          </w:tcPr>
          <w:p>
            <w:r/>
            <w:r>
              <w:rPr>
                <w:rFonts w:ascii="Arial" w:hAnsi="Arial"/>
                <w:b w:val="0"/>
                <w:sz w:val="18"/>
              </w:rPr>
              <w:t>Chamber preparation before work; not a sterility validation step</w:t>
            </w:r>
          </w:p>
        </w:tc>
      </w:tr>
      <w:tr>
        <w:tc>
          <w:tcPr>
            <w:tcW w:type="dxa" w:w="5040"/>
            <w:vAlign w:val="center"/>
          </w:tcPr>
          <w:p>
            <w:r/>
            <w:r>
              <w:rPr>
                <w:rFonts w:ascii="Arial" w:hAnsi="Arial"/>
                <w:b w:val="0"/>
                <w:sz w:val="18"/>
              </w:rPr>
              <w:t>Exhaust</w:t>
            </w:r>
          </w:p>
        </w:tc>
        <w:tc>
          <w:tcPr>
            <w:tcW w:type="dxa" w:w="5040"/>
            <w:vAlign w:val="center"/>
          </w:tcPr>
          <w:p>
            <w:r/>
            <w:r>
              <w:rPr>
                <w:rFonts w:ascii="Arial" w:hAnsi="Arial"/>
                <w:b w:val="0"/>
                <w:sz w:val="18"/>
              </w:rPr>
              <w:t>Airflow support where required</w:t>
            </w:r>
          </w:p>
        </w:tc>
      </w:tr>
      <w:tr>
        <w:tc>
          <w:tcPr>
            <w:tcW w:type="dxa" w:w="5040"/>
            <w:vAlign w:val="center"/>
          </w:tcPr>
          <w:p>
            <w:r/>
            <w:r>
              <w:rPr>
                <w:rFonts w:ascii="Arial" w:hAnsi="Arial"/>
                <w:b w:val="0"/>
                <w:sz w:val="18"/>
              </w:rPr>
              <w:t>Environment Sensors</w:t>
            </w:r>
          </w:p>
        </w:tc>
        <w:tc>
          <w:tcPr>
            <w:tcW w:type="dxa" w:w="5040"/>
            <w:vAlign w:val="center"/>
          </w:tcPr>
          <w:p>
            <w:r/>
            <w:r>
              <w:rPr>
                <w:rFonts w:ascii="Arial" w:hAnsi="Arial"/>
                <w:b w:val="0"/>
                <w:sz w:val="18"/>
              </w:rPr>
              <w:t>Ambient chamber condition record</w:t>
            </w:r>
          </w:p>
        </w:tc>
      </w:tr>
    </w:tbl>
    <w:p/>
    <w:p>
      <w:pPr>
        <w:pStyle w:val="Heading1"/>
      </w:pPr>
      <w:r>
        <w:rPr>
          <w:rFonts w:ascii="Arial" w:hAnsi="Arial"/>
        </w:rPr>
        <w:t>10. Important Surface Chemistry Options</w:t>
      </w:r>
    </w:p>
    <w:p>
      <w:pPr>
        <w:jc w:val="both"/>
      </w:pPr>
      <w:r>
        <w:rPr>
          <w:rFonts w:ascii="Arial" w:hAnsi="Arial"/>
          <w:sz w:val="21"/>
        </w:rPr>
        <w:t>Different nanoparticle-antibody attachment approaches may be selected depending on nanoparticle surface chemistry and the level of control required. For a general Protoly demonstration, the method can be described broadly as surface conditioning followed by antibody attachment, without overclaiming a specific covalent conjugation chemistry unless the actual reagents are used.</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D9EAF7"/>
          </w:tcPr>
          <w:p>
            <w:r/>
            <w:r>
              <w:rPr>
                <w:rFonts w:ascii="Arial" w:hAnsi="Arial"/>
                <w:b/>
                <w:sz w:val="18"/>
              </w:rPr>
              <w:t>Approach</w:t>
            </w:r>
          </w:p>
        </w:tc>
        <w:tc>
          <w:tcPr>
            <w:tcW w:type="dxa" w:w="3360"/>
            <w:vAlign w:val="center"/>
            <w:shd w:fill="D9EAF7"/>
          </w:tcPr>
          <w:p>
            <w:r/>
            <w:r>
              <w:rPr>
                <w:rFonts w:ascii="Arial" w:hAnsi="Arial"/>
                <w:b/>
                <w:sz w:val="18"/>
              </w:rPr>
              <w:t>General Meaning</w:t>
            </w:r>
          </w:p>
        </w:tc>
        <w:tc>
          <w:tcPr>
            <w:tcW w:type="dxa" w:w="3360"/>
            <w:vAlign w:val="center"/>
            <w:shd w:fill="D9EAF7"/>
          </w:tcPr>
          <w:p>
            <w:r/>
            <w:r>
              <w:rPr>
                <w:rFonts w:ascii="Arial" w:hAnsi="Arial"/>
                <w:b/>
                <w:sz w:val="18"/>
              </w:rPr>
              <w:t>Comment</w:t>
            </w:r>
          </w:p>
        </w:tc>
      </w:tr>
      <w:tr>
        <w:tc>
          <w:tcPr>
            <w:tcW w:type="dxa" w:w="3360"/>
            <w:vAlign w:val="center"/>
          </w:tcPr>
          <w:p>
            <w:r/>
            <w:r>
              <w:rPr>
                <w:rFonts w:ascii="Arial" w:hAnsi="Arial"/>
                <w:b w:val="0"/>
                <w:sz w:val="18"/>
              </w:rPr>
              <w:t>Physical adsorption</w:t>
            </w:r>
          </w:p>
        </w:tc>
        <w:tc>
          <w:tcPr>
            <w:tcW w:type="dxa" w:w="3360"/>
            <w:vAlign w:val="center"/>
          </w:tcPr>
          <w:p>
            <w:r/>
            <w:r>
              <w:rPr>
                <w:rFonts w:ascii="Arial" w:hAnsi="Arial"/>
                <w:b w:val="0"/>
                <w:sz w:val="18"/>
              </w:rPr>
              <w:t>Antibody adsorbs onto nanoparticle surface through weak interactions</w:t>
            </w:r>
          </w:p>
        </w:tc>
        <w:tc>
          <w:tcPr>
            <w:tcW w:type="dxa" w:w="3360"/>
            <w:vAlign w:val="center"/>
          </w:tcPr>
          <w:p>
            <w:r/>
            <w:r>
              <w:rPr>
                <w:rFonts w:ascii="Arial" w:hAnsi="Arial"/>
                <w:b w:val="0"/>
                <w:sz w:val="18"/>
              </w:rPr>
              <w:t>Simple but may be less stable</w:t>
            </w:r>
          </w:p>
        </w:tc>
      </w:tr>
      <w:tr>
        <w:tc>
          <w:tcPr>
            <w:tcW w:type="dxa" w:w="3360"/>
            <w:vAlign w:val="center"/>
          </w:tcPr>
          <w:p>
            <w:r/>
            <w:r>
              <w:rPr>
                <w:rFonts w:ascii="Arial" w:hAnsi="Arial"/>
                <w:b w:val="0"/>
                <w:sz w:val="18"/>
              </w:rPr>
              <w:t>EDC/NHS coupling</w:t>
            </w:r>
          </w:p>
        </w:tc>
        <w:tc>
          <w:tcPr>
            <w:tcW w:type="dxa" w:w="3360"/>
            <w:vAlign w:val="center"/>
          </w:tcPr>
          <w:p>
            <w:r/>
            <w:r>
              <w:rPr>
                <w:rFonts w:ascii="Arial" w:hAnsi="Arial"/>
                <w:b w:val="0"/>
                <w:sz w:val="18"/>
              </w:rPr>
              <w:t>Carboxyl groups are activated for amide bond formation with antibody amines</w:t>
            </w:r>
          </w:p>
        </w:tc>
        <w:tc>
          <w:tcPr>
            <w:tcW w:type="dxa" w:w="3360"/>
            <w:vAlign w:val="center"/>
          </w:tcPr>
          <w:p>
            <w:r/>
            <w:r>
              <w:rPr>
                <w:rFonts w:ascii="Arial" w:hAnsi="Arial"/>
                <w:b w:val="0"/>
                <w:sz w:val="18"/>
              </w:rPr>
              <w:t>Requires suitable surface-functionalized nanoparticles</w:t>
            </w:r>
          </w:p>
        </w:tc>
      </w:tr>
      <w:tr>
        <w:tc>
          <w:tcPr>
            <w:tcW w:type="dxa" w:w="3360"/>
            <w:vAlign w:val="center"/>
          </w:tcPr>
          <w:p>
            <w:r/>
            <w:r>
              <w:rPr>
                <w:rFonts w:ascii="Arial" w:hAnsi="Arial"/>
                <w:b w:val="0"/>
                <w:sz w:val="18"/>
              </w:rPr>
              <w:t>Thiol-gold interaction</w:t>
            </w:r>
          </w:p>
        </w:tc>
        <w:tc>
          <w:tcPr>
            <w:tcW w:type="dxa" w:w="3360"/>
            <w:vAlign w:val="center"/>
          </w:tcPr>
          <w:p>
            <w:r/>
            <w:r>
              <w:rPr>
                <w:rFonts w:ascii="Arial" w:hAnsi="Arial"/>
                <w:b w:val="0"/>
                <w:sz w:val="18"/>
              </w:rPr>
              <w:t>Thiol-containing linkers interact with gold surfaces</w:t>
            </w:r>
          </w:p>
        </w:tc>
        <w:tc>
          <w:tcPr>
            <w:tcW w:type="dxa" w:w="3360"/>
            <w:vAlign w:val="center"/>
          </w:tcPr>
          <w:p>
            <w:r/>
            <w:r>
              <w:rPr>
                <w:rFonts w:ascii="Arial" w:hAnsi="Arial"/>
                <w:b w:val="0"/>
                <w:sz w:val="18"/>
              </w:rPr>
              <w:t>Useful for gold nanoparticle systems</w:t>
            </w:r>
          </w:p>
        </w:tc>
      </w:tr>
      <w:tr>
        <w:tc>
          <w:tcPr>
            <w:tcW w:type="dxa" w:w="3360"/>
            <w:vAlign w:val="center"/>
          </w:tcPr>
          <w:p>
            <w:r/>
            <w:r>
              <w:rPr>
                <w:rFonts w:ascii="Arial" w:hAnsi="Arial"/>
                <w:b w:val="0"/>
                <w:sz w:val="18"/>
              </w:rPr>
              <w:t>Biotin-streptavidin strategy</w:t>
            </w:r>
          </w:p>
        </w:tc>
        <w:tc>
          <w:tcPr>
            <w:tcW w:type="dxa" w:w="3360"/>
            <w:vAlign w:val="center"/>
          </w:tcPr>
          <w:p>
            <w:r/>
            <w:r>
              <w:rPr>
                <w:rFonts w:ascii="Arial" w:hAnsi="Arial"/>
                <w:b w:val="0"/>
                <w:sz w:val="18"/>
              </w:rPr>
              <w:t>Uses high-affinity biological interaction</w:t>
            </w:r>
          </w:p>
        </w:tc>
        <w:tc>
          <w:tcPr>
            <w:tcW w:type="dxa" w:w="3360"/>
            <w:vAlign w:val="center"/>
          </w:tcPr>
          <w:p>
            <w:r/>
            <w:r>
              <w:rPr>
                <w:rFonts w:ascii="Arial" w:hAnsi="Arial"/>
                <w:b w:val="0"/>
                <w:sz w:val="18"/>
              </w:rPr>
              <w:t>Good specificity but adds components and cost</w:t>
            </w:r>
          </w:p>
        </w:tc>
      </w:tr>
      <w:tr>
        <w:tc>
          <w:tcPr>
            <w:tcW w:type="dxa" w:w="3360"/>
            <w:vAlign w:val="center"/>
          </w:tcPr>
          <w:p>
            <w:r/>
            <w:r>
              <w:rPr>
                <w:rFonts w:ascii="Arial" w:hAnsi="Arial"/>
                <w:b w:val="0"/>
                <w:sz w:val="18"/>
              </w:rPr>
              <w:t>Reporter-assisted SERS probe</w:t>
            </w:r>
          </w:p>
        </w:tc>
        <w:tc>
          <w:tcPr>
            <w:tcW w:type="dxa" w:w="3360"/>
            <w:vAlign w:val="center"/>
          </w:tcPr>
          <w:p>
            <w:r/>
            <w:r>
              <w:rPr>
                <w:rFonts w:ascii="Arial" w:hAnsi="Arial"/>
                <w:b w:val="0"/>
                <w:sz w:val="18"/>
              </w:rPr>
              <w:t>Raman reporter is introduced near the nanoparticle surface</w:t>
            </w:r>
          </w:p>
        </w:tc>
        <w:tc>
          <w:tcPr>
            <w:tcW w:type="dxa" w:w="3360"/>
            <w:vAlign w:val="center"/>
          </w:tcPr>
          <w:p>
            <w:r/>
            <w:r>
              <w:rPr>
                <w:rFonts w:ascii="Arial" w:hAnsi="Arial"/>
                <w:b w:val="0"/>
                <w:sz w:val="18"/>
              </w:rPr>
              <w:t>Useful for spectral labelling, requires careful design</w:t>
            </w:r>
          </w:p>
        </w:tc>
      </w:tr>
    </w:tbl>
    <w:p/>
    <w:p>
      <w:pPr>
        <w:pStyle w:val="Heading1"/>
      </w:pPr>
      <w:r>
        <w:rPr>
          <w:rFonts w:ascii="Arial" w:hAnsi="Arial"/>
        </w:rPr>
        <w:t>11. Critical Formulation and Process Variables</w:t>
      </w:r>
    </w:p>
    <w:p>
      <w:pPr>
        <w:jc w:val="both"/>
      </w:pPr>
      <w:r>
        <w:rPr>
          <w:rFonts w:ascii="Arial" w:hAnsi="Arial"/>
          <w:sz w:val="21"/>
        </w:rPr>
        <w:t>The final quality of a SERS-ready nanoparticle-antibody probe depends on both surface chemistry and processing conditions. Several variables should be recorded carefully for each batch.</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rFonts w:ascii="Arial" w:hAnsi="Arial"/>
                <w:b/>
                <w:sz w:val="18"/>
              </w:rPr>
              <w:t>Variable</w:t>
            </w:r>
          </w:p>
        </w:tc>
        <w:tc>
          <w:tcPr>
            <w:tcW w:type="dxa" w:w="5040"/>
            <w:vAlign w:val="center"/>
            <w:shd w:fill="D9EAF7"/>
          </w:tcPr>
          <w:p>
            <w:r/>
            <w:r>
              <w:rPr>
                <w:rFonts w:ascii="Arial" w:hAnsi="Arial"/>
                <w:b/>
                <w:sz w:val="18"/>
              </w:rPr>
              <w:t>Why It Matters</w:t>
            </w:r>
          </w:p>
        </w:tc>
      </w:tr>
      <w:tr>
        <w:tc>
          <w:tcPr>
            <w:tcW w:type="dxa" w:w="5040"/>
            <w:vAlign w:val="center"/>
          </w:tcPr>
          <w:p>
            <w:r/>
            <w:r>
              <w:rPr>
                <w:rFonts w:ascii="Arial" w:hAnsi="Arial"/>
                <w:b w:val="0"/>
                <w:sz w:val="18"/>
              </w:rPr>
              <w:t>Nanoparticle type</w:t>
            </w:r>
          </w:p>
        </w:tc>
        <w:tc>
          <w:tcPr>
            <w:tcW w:type="dxa" w:w="5040"/>
            <w:vAlign w:val="center"/>
          </w:tcPr>
          <w:p>
            <w:r/>
            <w:r>
              <w:rPr>
                <w:rFonts w:ascii="Arial" w:hAnsi="Arial"/>
                <w:b w:val="0"/>
                <w:sz w:val="18"/>
              </w:rPr>
              <w:t>Gold and silver differ in stability, plasmonic response, and surface chemistry</w:t>
            </w:r>
          </w:p>
        </w:tc>
      </w:tr>
      <w:tr>
        <w:tc>
          <w:tcPr>
            <w:tcW w:type="dxa" w:w="5040"/>
            <w:vAlign w:val="center"/>
          </w:tcPr>
          <w:p>
            <w:r/>
            <w:r>
              <w:rPr>
                <w:rFonts w:ascii="Arial" w:hAnsi="Arial"/>
                <w:b w:val="0"/>
                <w:sz w:val="18"/>
              </w:rPr>
              <w:t>Nanoparticle concentration</w:t>
            </w:r>
          </w:p>
        </w:tc>
        <w:tc>
          <w:tcPr>
            <w:tcW w:type="dxa" w:w="5040"/>
            <w:vAlign w:val="center"/>
          </w:tcPr>
          <w:p>
            <w:r/>
            <w:r>
              <w:rPr>
                <w:rFonts w:ascii="Arial" w:hAnsi="Arial"/>
                <w:b w:val="0"/>
                <w:sz w:val="18"/>
              </w:rPr>
              <w:t>Influences probe density, aggregation risk, and spectral response</w:t>
            </w:r>
          </w:p>
        </w:tc>
      </w:tr>
      <w:tr>
        <w:tc>
          <w:tcPr>
            <w:tcW w:type="dxa" w:w="5040"/>
            <w:vAlign w:val="center"/>
          </w:tcPr>
          <w:p>
            <w:r/>
            <w:r>
              <w:rPr>
                <w:rFonts w:ascii="Arial" w:hAnsi="Arial"/>
                <w:b w:val="0"/>
                <w:sz w:val="18"/>
              </w:rPr>
              <w:t>Buffer composition</w:t>
            </w:r>
          </w:p>
        </w:tc>
        <w:tc>
          <w:tcPr>
            <w:tcW w:type="dxa" w:w="5040"/>
            <w:vAlign w:val="center"/>
          </w:tcPr>
          <w:p>
            <w:r/>
            <w:r>
              <w:rPr>
                <w:rFonts w:ascii="Arial" w:hAnsi="Arial"/>
                <w:b w:val="0"/>
                <w:sz w:val="18"/>
              </w:rPr>
              <w:t>Can affect antibody stability and nanoparticle aggregation</w:t>
            </w:r>
          </w:p>
        </w:tc>
      </w:tr>
      <w:tr>
        <w:tc>
          <w:tcPr>
            <w:tcW w:type="dxa" w:w="5040"/>
            <w:vAlign w:val="center"/>
          </w:tcPr>
          <w:p>
            <w:r/>
            <w:r>
              <w:rPr>
                <w:rFonts w:ascii="Arial" w:hAnsi="Arial"/>
                <w:b w:val="0"/>
                <w:sz w:val="18"/>
              </w:rPr>
              <w:t>pH condition</w:t>
            </w:r>
          </w:p>
        </w:tc>
        <w:tc>
          <w:tcPr>
            <w:tcW w:type="dxa" w:w="5040"/>
            <w:vAlign w:val="center"/>
          </w:tcPr>
          <w:p>
            <w:r/>
            <w:r>
              <w:rPr>
                <w:rFonts w:ascii="Arial" w:hAnsi="Arial"/>
                <w:b w:val="0"/>
                <w:sz w:val="18"/>
              </w:rPr>
              <w:t>Influences antibody charge and attachment behaviour; verify offline</w:t>
            </w:r>
          </w:p>
        </w:tc>
      </w:tr>
      <w:tr>
        <w:tc>
          <w:tcPr>
            <w:tcW w:type="dxa" w:w="5040"/>
            <w:vAlign w:val="center"/>
          </w:tcPr>
          <w:p>
            <w:r/>
            <w:r>
              <w:rPr>
                <w:rFonts w:ascii="Arial" w:hAnsi="Arial"/>
                <w:b w:val="0"/>
                <w:sz w:val="18"/>
              </w:rPr>
              <w:t>Antibody concentration</w:t>
            </w:r>
          </w:p>
        </w:tc>
        <w:tc>
          <w:tcPr>
            <w:tcW w:type="dxa" w:w="5040"/>
            <w:vAlign w:val="center"/>
          </w:tcPr>
          <w:p>
            <w:r/>
            <w:r>
              <w:rPr>
                <w:rFonts w:ascii="Arial" w:hAnsi="Arial"/>
                <w:b w:val="0"/>
                <w:sz w:val="18"/>
              </w:rPr>
              <w:t>Affects surface coverage and potential aggregation</w:t>
            </w:r>
          </w:p>
        </w:tc>
      </w:tr>
      <w:tr>
        <w:tc>
          <w:tcPr>
            <w:tcW w:type="dxa" w:w="5040"/>
            <w:vAlign w:val="center"/>
          </w:tcPr>
          <w:p>
            <w:r/>
            <w:r>
              <w:rPr>
                <w:rFonts w:ascii="Arial" w:hAnsi="Arial"/>
                <w:b w:val="0"/>
                <w:sz w:val="18"/>
              </w:rPr>
              <w:t>Linker amount</w:t>
            </w:r>
          </w:p>
        </w:tc>
        <w:tc>
          <w:tcPr>
            <w:tcW w:type="dxa" w:w="5040"/>
            <w:vAlign w:val="center"/>
          </w:tcPr>
          <w:p>
            <w:r/>
            <w:r>
              <w:rPr>
                <w:rFonts w:ascii="Arial" w:hAnsi="Arial"/>
                <w:b w:val="0"/>
                <w:sz w:val="18"/>
              </w:rPr>
              <w:t>Too little may reduce attachment; too much may cause instability</w:t>
            </w:r>
          </w:p>
        </w:tc>
      </w:tr>
      <w:tr>
        <w:tc>
          <w:tcPr>
            <w:tcW w:type="dxa" w:w="5040"/>
            <w:vAlign w:val="center"/>
          </w:tcPr>
          <w:p>
            <w:r/>
            <w:r>
              <w:rPr>
                <w:rFonts w:ascii="Arial" w:hAnsi="Arial"/>
                <w:b w:val="0"/>
                <w:sz w:val="18"/>
              </w:rPr>
              <w:t>Incubation time</w:t>
            </w:r>
          </w:p>
        </w:tc>
        <w:tc>
          <w:tcPr>
            <w:tcW w:type="dxa" w:w="5040"/>
            <w:vAlign w:val="center"/>
          </w:tcPr>
          <w:p>
            <w:r/>
            <w:r>
              <w:rPr>
                <w:rFonts w:ascii="Arial" w:hAnsi="Arial"/>
                <w:b w:val="0"/>
                <w:sz w:val="18"/>
              </w:rPr>
              <w:t>Controls attachment and stabilization period</w:t>
            </w:r>
          </w:p>
        </w:tc>
      </w:tr>
      <w:tr>
        <w:tc>
          <w:tcPr>
            <w:tcW w:type="dxa" w:w="5040"/>
            <w:vAlign w:val="center"/>
          </w:tcPr>
          <w:p>
            <w:r/>
            <w:r>
              <w:rPr>
                <w:rFonts w:ascii="Arial" w:hAnsi="Arial"/>
                <w:b w:val="0"/>
                <w:sz w:val="18"/>
              </w:rPr>
              <w:t>Mixing speed</w:t>
            </w:r>
          </w:p>
        </w:tc>
        <w:tc>
          <w:tcPr>
            <w:tcW w:type="dxa" w:w="5040"/>
            <w:vAlign w:val="center"/>
          </w:tcPr>
          <w:p>
            <w:r/>
            <w:r>
              <w:rPr>
                <w:rFonts w:ascii="Arial" w:hAnsi="Arial"/>
                <w:b w:val="0"/>
                <w:sz w:val="18"/>
              </w:rPr>
              <w:t>Should be gentle enough to protect biomolecules</w:t>
            </w:r>
          </w:p>
        </w:tc>
      </w:tr>
      <w:tr>
        <w:tc>
          <w:tcPr>
            <w:tcW w:type="dxa" w:w="5040"/>
            <w:vAlign w:val="center"/>
          </w:tcPr>
          <w:p>
            <w:r/>
            <w:r>
              <w:rPr>
                <w:rFonts w:ascii="Arial" w:hAnsi="Arial"/>
                <w:b w:val="0"/>
                <w:sz w:val="18"/>
              </w:rPr>
              <w:t>Blocking agent</w:t>
            </w:r>
          </w:p>
        </w:tc>
        <w:tc>
          <w:tcPr>
            <w:tcW w:type="dxa" w:w="5040"/>
            <w:vAlign w:val="center"/>
          </w:tcPr>
          <w:p>
            <w:r/>
            <w:r>
              <w:rPr>
                <w:rFonts w:ascii="Arial" w:hAnsi="Arial"/>
                <w:b w:val="0"/>
                <w:sz w:val="18"/>
              </w:rPr>
              <w:t>Reduces non-specific interactions and supports colloidal stability</w:t>
            </w:r>
          </w:p>
        </w:tc>
      </w:tr>
      <w:tr>
        <w:tc>
          <w:tcPr>
            <w:tcW w:type="dxa" w:w="5040"/>
            <w:vAlign w:val="center"/>
          </w:tcPr>
          <w:p>
            <w:r/>
            <w:r>
              <w:rPr>
                <w:rFonts w:ascii="Arial" w:hAnsi="Arial"/>
                <w:b w:val="0"/>
                <w:sz w:val="18"/>
              </w:rPr>
              <w:t>Washing method</w:t>
            </w:r>
          </w:p>
        </w:tc>
        <w:tc>
          <w:tcPr>
            <w:tcW w:type="dxa" w:w="5040"/>
            <w:vAlign w:val="center"/>
          </w:tcPr>
          <w:p>
            <w:r/>
            <w:r>
              <w:rPr>
                <w:rFonts w:ascii="Arial" w:hAnsi="Arial"/>
                <w:b w:val="0"/>
                <w:sz w:val="18"/>
              </w:rPr>
              <w:t>Removes unbound components but may cause sample loss</w:t>
            </w:r>
          </w:p>
        </w:tc>
      </w:tr>
      <w:tr>
        <w:tc>
          <w:tcPr>
            <w:tcW w:type="dxa" w:w="5040"/>
            <w:vAlign w:val="center"/>
          </w:tcPr>
          <w:p>
            <w:r/>
            <w:r>
              <w:rPr>
                <w:rFonts w:ascii="Arial" w:hAnsi="Arial"/>
                <w:b w:val="0"/>
                <w:sz w:val="18"/>
              </w:rPr>
              <w:t>Storage condition</w:t>
            </w:r>
          </w:p>
        </w:tc>
        <w:tc>
          <w:tcPr>
            <w:tcW w:type="dxa" w:w="5040"/>
            <w:vAlign w:val="center"/>
          </w:tcPr>
          <w:p>
            <w:r/>
            <w:r>
              <w:rPr>
                <w:rFonts w:ascii="Arial" w:hAnsi="Arial"/>
                <w:b w:val="0"/>
                <w:sz w:val="18"/>
              </w:rPr>
              <w:t>Affects probe stability over time</w:t>
            </w:r>
          </w:p>
        </w:tc>
      </w:tr>
    </w:tbl>
    <w:p/>
    <w:p>
      <w:pPr>
        <w:pStyle w:val="Heading1"/>
      </w:pPr>
      <w:r>
        <w:rPr>
          <w:rFonts w:ascii="Arial" w:hAnsi="Arial"/>
        </w:rPr>
        <w:t>12. Expected Visual Observations</w:t>
      </w:r>
    </w:p>
    <w:p>
      <w:pPr>
        <w:jc w:val="both"/>
      </w:pPr>
      <w:r>
        <w:rPr>
          <w:rFonts w:ascii="Arial" w:hAnsi="Arial"/>
          <w:sz w:val="21"/>
        </w:rPr>
        <w:t>Visual observation is useful as a preliminary check, but it cannot confirm successful antibody conjugation or SERS activity. Still, colour and dispersion changes can provide early clues about aggregation or instability.</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rFonts w:ascii="Arial" w:hAnsi="Arial"/>
                <w:b/>
                <w:sz w:val="18"/>
              </w:rPr>
              <w:t>Observation</w:t>
            </w:r>
          </w:p>
        </w:tc>
        <w:tc>
          <w:tcPr>
            <w:tcW w:type="dxa" w:w="5040"/>
            <w:vAlign w:val="center"/>
            <w:shd w:fill="D9EAF7"/>
          </w:tcPr>
          <w:p>
            <w:r/>
            <w:r>
              <w:rPr>
                <w:rFonts w:ascii="Arial" w:hAnsi="Arial"/>
                <w:b/>
                <w:sz w:val="18"/>
              </w:rPr>
              <w:t>Possible Meaning</w:t>
            </w:r>
          </w:p>
        </w:tc>
      </w:tr>
      <w:tr>
        <w:tc>
          <w:tcPr>
            <w:tcW w:type="dxa" w:w="5040"/>
            <w:vAlign w:val="center"/>
          </w:tcPr>
          <w:p>
            <w:r/>
            <w:r>
              <w:rPr>
                <w:rFonts w:ascii="Arial" w:hAnsi="Arial"/>
                <w:b w:val="0"/>
                <w:sz w:val="18"/>
              </w:rPr>
              <w:t>Stable red or yellowish dispersion</w:t>
            </w:r>
          </w:p>
        </w:tc>
        <w:tc>
          <w:tcPr>
            <w:tcW w:type="dxa" w:w="5040"/>
            <w:vAlign w:val="center"/>
          </w:tcPr>
          <w:p>
            <w:r/>
            <w:r>
              <w:rPr>
                <w:rFonts w:ascii="Arial" w:hAnsi="Arial"/>
                <w:b w:val="0"/>
                <w:sz w:val="18"/>
              </w:rPr>
              <w:t>Possible stable gold/silver nanoparticle system depending on material</w:t>
            </w:r>
          </w:p>
        </w:tc>
      </w:tr>
      <w:tr>
        <w:tc>
          <w:tcPr>
            <w:tcW w:type="dxa" w:w="5040"/>
            <w:vAlign w:val="center"/>
          </w:tcPr>
          <w:p>
            <w:r/>
            <w:r>
              <w:rPr>
                <w:rFonts w:ascii="Arial" w:hAnsi="Arial"/>
                <w:b w:val="0"/>
                <w:sz w:val="18"/>
              </w:rPr>
              <w:t>Slight colour shift after antibody addition</w:t>
            </w:r>
          </w:p>
        </w:tc>
        <w:tc>
          <w:tcPr>
            <w:tcW w:type="dxa" w:w="5040"/>
            <w:vAlign w:val="center"/>
          </w:tcPr>
          <w:p>
            <w:r/>
            <w:r>
              <w:rPr>
                <w:rFonts w:ascii="Arial" w:hAnsi="Arial"/>
                <w:b w:val="0"/>
                <w:sz w:val="18"/>
              </w:rPr>
              <w:t>Possible surface change or mild interaction</w:t>
            </w:r>
          </w:p>
        </w:tc>
      </w:tr>
      <w:tr>
        <w:tc>
          <w:tcPr>
            <w:tcW w:type="dxa" w:w="5040"/>
            <w:vAlign w:val="center"/>
          </w:tcPr>
          <w:p>
            <w:r/>
            <w:r>
              <w:rPr>
                <w:rFonts w:ascii="Arial" w:hAnsi="Arial"/>
                <w:b w:val="0"/>
                <w:sz w:val="18"/>
              </w:rPr>
              <w:t>Rapid darkening or grey/black appearance</w:t>
            </w:r>
          </w:p>
        </w:tc>
        <w:tc>
          <w:tcPr>
            <w:tcW w:type="dxa" w:w="5040"/>
            <w:vAlign w:val="center"/>
          </w:tcPr>
          <w:p>
            <w:r/>
            <w:r>
              <w:rPr>
                <w:rFonts w:ascii="Arial" w:hAnsi="Arial"/>
                <w:b w:val="0"/>
                <w:sz w:val="18"/>
              </w:rPr>
              <w:t>Possible aggregation</w:t>
            </w:r>
          </w:p>
        </w:tc>
      </w:tr>
      <w:tr>
        <w:tc>
          <w:tcPr>
            <w:tcW w:type="dxa" w:w="5040"/>
            <w:vAlign w:val="center"/>
          </w:tcPr>
          <w:p>
            <w:r/>
            <w:r>
              <w:rPr>
                <w:rFonts w:ascii="Arial" w:hAnsi="Arial"/>
                <w:b w:val="0"/>
                <w:sz w:val="18"/>
              </w:rPr>
              <w:t>Visible precipitate</w:t>
            </w:r>
          </w:p>
        </w:tc>
        <w:tc>
          <w:tcPr>
            <w:tcW w:type="dxa" w:w="5040"/>
            <w:vAlign w:val="center"/>
          </w:tcPr>
          <w:p>
            <w:r/>
            <w:r>
              <w:rPr>
                <w:rFonts w:ascii="Arial" w:hAnsi="Arial"/>
                <w:b w:val="0"/>
                <w:sz w:val="18"/>
              </w:rPr>
              <w:t>Poor colloidal stability or excessive linker/antibody</w:t>
            </w:r>
          </w:p>
        </w:tc>
      </w:tr>
      <w:tr>
        <w:tc>
          <w:tcPr>
            <w:tcW w:type="dxa" w:w="5040"/>
            <w:vAlign w:val="center"/>
          </w:tcPr>
          <w:p>
            <w:r/>
            <w:r>
              <w:rPr>
                <w:rFonts w:ascii="Arial" w:hAnsi="Arial"/>
                <w:b w:val="0"/>
                <w:sz w:val="18"/>
              </w:rPr>
              <w:t>Foam or bubbles</w:t>
            </w:r>
          </w:p>
        </w:tc>
        <w:tc>
          <w:tcPr>
            <w:tcW w:type="dxa" w:w="5040"/>
            <w:vAlign w:val="center"/>
          </w:tcPr>
          <w:p>
            <w:r/>
            <w:r>
              <w:rPr>
                <w:rFonts w:ascii="Arial" w:hAnsi="Arial"/>
                <w:b w:val="0"/>
                <w:sz w:val="18"/>
              </w:rPr>
              <w:t>Excessive mixing or surfactant/protein effect</w:t>
            </w:r>
          </w:p>
        </w:tc>
      </w:tr>
      <w:tr>
        <w:tc>
          <w:tcPr>
            <w:tcW w:type="dxa" w:w="5040"/>
            <w:vAlign w:val="center"/>
          </w:tcPr>
          <w:p>
            <w:r/>
            <w:r>
              <w:rPr>
                <w:rFonts w:ascii="Arial" w:hAnsi="Arial"/>
                <w:b w:val="0"/>
                <w:sz w:val="18"/>
              </w:rPr>
              <w:t>Layering or settling</w:t>
            </w:r>
          </w:p>
        </w:tc>
        <w:tc>
          <w:tcPr>
            <w:tcW w:type="dxa" w:w="5040"/>
            <w:vAlign w:val="center"/>
          </w:tcPr>
          <w:p>
            <w:r/>
            <w:r>
              <w:rPr>
                <w:rFonts w:ascii="Arial" w:hAnsi="Arial"/>
                <w:b w:val="0"/>
                <w:sz w:val="18"/>
              </w:rPr>
              <w:t>Unstable probe dispersion</w:t>
            </w:r>
          </w:p>
        </w:tc>
      </w:tr>
      <w:tr>
        <w:tc>
          <w:tcPr>
            <w:tcW w:type="dxa" w:w="5040"/>
            <w:vAlign w:val="center"/>
          </w:tcPr>
          <w:p>
            <w:r/>
            <w:r>
              <w:rPr>
                <w:rFonts w:ascii="Arial" w:hAnsi="Arial"/>
                <w:b w:val="0"/>
                <w:sz w:val="18"/>
              </w:rPr>
              <w:t>No visible change</w:t>
            </w:r>
          </w:p>
        </w:tc>
        <w:tc>
          <w:tcPr>
            <w:tcW w:type="dxa" w:w="5040"/>
            <w:vAlign w:val="center"/>
          </w:tcPr>
          <w:p>
            <w:r/>
            <w:r>
              <w:rPr>
                <w:rFonts w:ascii="Arial" w:hAnsi="Arial"/>
                <w:b w:val="0"/>
                <w:sz w:val="18"/>
              </w:rPr>
              <w:t>Not necessarily failure; functional testing still required</w:t>
            </w:r>
          </w:p>
        </w:tc>
      </w:tr>
    </w:tbl>
    <w:p/>
    <w:p>
      <w:pPr>
        <w:pStyle w:val="Heading1"/>
      </w:pPr>
      <w:r>
        <w:rPr>
          <w:rFonts w:ascii="Arial" w:hAnsi="Arial"/>
        </w:rPr>
        <w:t>13. Suggested Batch Record Format</w:t>
      </w:r>
    </w:p>
    <w:tbl>
      <w:tblPr>
        <w:tblStyle w:val="TableGrid"/>
        <w:tblW w:type="auto" w:w="0"/>
        <w:jc w:val="center"/>
        <w:tblLook w:firstColumn="1" w:firstRow="1" w:lastColumn="0" w:lastRow="0" w:noHBand="0" w:noVBand="1" w:val="04A0"/>
      </w:tblPr>
      <w:tblGrid>
        <w:gridCol w:w="1260"/>
        <w:gridCol w:w="1260"/>
        <w:gridCol w:w="1260"/>
        <w:gridCol w:w="1260"/>
        <w:gridCol w:w="1260"/>
        <w:gridCol w:w="1260"/>
        <w:gridCol w:w="1260"/>
        <w:gridCol w:w="1260"/>
      </w:tblGrid>
      <w:tr>
        <w:tc>
          <w:tcPr>
            <w:tcW w:type="dxa" w:w="1260"/>
            <w:vAlign w:val="center"/>
            <w:shd w:fill="D9EAF7"/>
          </w:tcPr>
          <w:p>
            <w:r/>
            <w:r>
              <w:rPr>
                <w:rFonts w:ascii="Arial" w:hAnsi="Arial"/>
                <w:b/>
                <w:sz w:val="18"/>
              </w:rPr>
              <w:t>Batch ID</w:t>
            </w:r>
          </w:p>
        </w:tc>
        <w:tc>
          <w:tcPr>
            <w:tcW w:type="dxa" w:w="1260"/>
            <w:vAlign w:val="center"/>
            <w:shd w:fill="D9EAF7"/>
          </w:tcPr>
          <w:p>
            <w:r/>
            <w:r>
              <w:rPr>
                <w:rFonts w:ascii="Arial" w:hAnsi="Arial"/>
                <w:b/>
                <w:sz w:val="18"/>
              </w:rPr>
              <w:t>NP Type</w:t>
            </w:r>
          </w:p>
        </w:tc>
        <w:tc>
          <w:tcPr>
            <w:tcW w:type="dxa" w:w="1260"/>
            <w:vAlign w:val="center"/>
            <w:shd w:fill="D9EAF7"/>
          </w:tcPr>
          <w:p>
            <w:r/>
            <w:r>
              <w:rPr>
                <w:rFonts w:ascii="Arial" w:hAnsi="Arial"/>
                <w:b/>
                <w:sz w:val="18"/>
              </w:rPr>
              <w:t>Linker</w:t>
            </w:r>
          </w:p>
        </w:tc>
        <w:tc>
          <w:tcPr>
            <w:tcW w:type="dxa" w:w="1260"/>
            <w:vAlign w:val="center"/>
            <w:shd w:fill="D9EAF7"/>
          </w:tcPr>
          <w:p>
            <w:r/>
            <w:r>
              <w:rPr>
                <w:rFonts w:ascii="Arial" w:hAnsi="Arial"/>
                <w:b/>
                <w:sz w:val="18"/>
              </w:rPr>
              <w:t>Antibody</w:t>
            </w:r>
          </w:p>
        </w:tc>
        <w:tc>
          <w:tcPr>
            <w:tcW w:type="dxa" w:w="1260"/>
            <w:vAlign w:val="center"/>
            <w:shd w:fill="D9EAF7"/>
          </w:tcPr>
          <w:p>
            <w:r/>
            <w:r>
              <w:rPr>
                <w:rFonts w:ascii="Arial" w:hAnsi="Arial"/>
                <w:b/>
                <w:sz w:val="18"/>
              </w:rPr>
              <w:t>Blocker</w:t>
            </w:r>
          </w:p>
        </w:tc>
        <w:tc>
          <w:tcPr>
            <w:tcW w:type="dxa" w:w="1260"/>
            <w:vAlign w:val="center"/>
            <w:shd w:fill="D9EAF7"/>
          </w:tcPr>
          <w:p>
            <w:r/>
            <w:r>
              <w:rPr>
                <w:rFonts w:ascii="Arial" w:hAnsi="Arial"/>
                <w:b/>
                <w:sz w:val="18"/>
              </w:rPr>
              <w:t>Incubation</w:t>
            </w:r>
          </w:p>
        </w:tc>
        <w:tc>
          <w:tcPr>
            <w:tcW w:type="dxa" w:w="1260"/>
            <w:vAlign w:val="center"/>
            <w:shd w:fill="D9EAF7"/>
          </w:tcPr>
          <w:p>
            <w:r/>
            <w:r>
              <w:rPr>
                <w:rFonts w:ascii="Arial" w:hAnsi="Arial"/>
                <w:b/>
                <w:sz w:val="18"/>
              </w:rPr>
              <w:t>Appearance</w:t>
            </w:r>
          </w:p>
        </w:tc>
        <w:tc>
          <w:tcPr>
            <w:tcW w:type="dxa" w:w="1260"/>
            <w:vAlign w:val="center"/>
            <w:shd w:fill="D9EAF7"/>
          </w:tcPr>
          <w:p>
            <w:r/>
            <w:r>
              <w:rPr>
                <w:rFonts w:ascii="Arial" w:hAnsi="Arial"/>
                <w:b/>
                <w:sz w:val="18"/>
              </w:rPr>
              <w:t>Offline Test</w:t>
            </w:r>
          </w:p>
        </w:tc>
      </w:tr>
      <w:tr>
        <w:tc>
          <w:tcPr>
            <w:tcW w:type="dxa" w:w="1260"/>
            <w:vAlign w:val="center"/>
          </w:tcPr>
          <w:p>
            <w:r/>
            <w:r>
              <w:rPr>
                <w:rFonts w:ascii="Arial" w:hAnsi="Arial"/>
                <w:b w:val="0"/>
                <w:sz w:val="18"/>
              </w:rPr>
              <w:t>SERS-Ab-01</w:t>
            </w:r>
          </w:p>
        </w:tc>
        <w:tc>
          <w:tcPr>
            <w:tcW w:type="dxa" w:w="1260"/>
            <w:vAlign w:val="center"/>
          </w:tcPr>
          <w:p>
            <w:r/>
            <w:r>
              <w:rPr>
                <w:rFonts w:ascii="Arial" w:hAnsi="Arial"/>
                <w:b w:val="0"/>
                <w:sz w:val="18"/>
              </w:rPr>
              <w:t>Gold NP</w:t>
            </w:r>
          </w:p>
        </w:tc>
        <w:tc>
          <w:tcPr>
            <w:tcW w:type="dxa" w:w="1260"/>
            <w:vAlign w:val="center"/>
          </w:tcPr>
          <w:p>
            <w:r/>
            <w:r>
              <w:rPr>
                <w:rFonts w:ascii="Arial" w:hAnsi="Arial"/>
                <w:b w:val="0"/>
                <w:sz w:val="18"/>
              </w:rPr>
              <w:t>None</w:t>
            </w:r>
          </w:p>
        </w:tc>
        <w:tc>
          <w:tcPr>
            <w:tcW w:type="dxa" w:w="1260"/>
            <w:vAlign w:val="center"/>
          </w:tcPr>
          <w:p>
            <w:r/>
            <w:r>
              <w:rPr>
                <w:rFonts w:ascii="Arial" w:hAnsi="Arial"/>
                <w:b w:val="0"/>
                <w:sz w:val="18"/>
              </w:rPr>
              <w:t>Model IgG</w:t>
            </w:r>
          </w:p>
        </w:tc>
        <w:tc>
          <w:tcPr>
            <w:tcW w:type="dxa" w:w="1260"/>
            <w:vAlign w:val="center"/>
          </w:tcPr>
          <w:p>
            <w:r/>
            <w:r>
              <w:rPr>
                <w:rFonts w:ascii="Arial" w:hAnsi="Arial"/>
                <w:b w:val="0"/>
                <w:sz w:val="18"/>
              </w:rPr>
              <w:t>BSA</w:t>
            </w:r>
          </w:p>
        </w:tc>
        <w:tc>
          <w:tcPr>
            <w:tcW w:type="dxa" w:w="1260"/>
            <w:vAlign w:val="center"/>
          </w:tcPr>
          <w:p>
            <w:r/>
            <w:r>
              <w:rPr>
                <w:rFonts w:ascii="Arial" w:hAnsi="Arial"/>
                <w:b w:val="0"/>
                <w:sz w:val="18"/>
              </w:rPr>
              <w:t>60 min</w:t>
            </w:r>
          </w:p>
        </w:tc>
        <w:tc>
          <w:tcPr>
            <w:tcW w:type="dxa" w:w="1260"/>
            <w:vAlign w:val="center"/>
          </w:tcPr>
          <w:p>
            <w:r/>
            <w:r>
              <w:rPr>
                <w:rFonts w:ascii="Arial" w:hAnsi="Arial"/>
                <w:b w:val="0"/>
                <w:sz w:val="18"/>
              </w:rPr>
              <w:t>Stable red</w:t>
            </w:r>
          </w:p>
        </w:tc>
        <w:tc>
          <w:tcPr>
            <w:tcW w:type="dxa" w:w="1260"/>
            <w:vAlign w:val="center"/>
          </w:tcPr>
          <w:p>
            <w:r/>
            <w:r>
              <w:rPr>
                <w:rFonts w:ascii="Arial" w:hAnsi="Arial"/>
                <w:b w:val="0"/>
                <w:sz w:val="18"/>
              </w:rPr>
              <w:t>Raman pending</w:t>
            </w:r>
          </w:p>
        </w:tc>
      </w:tr>
      <w:tr>
        <w:tc>
          <w:tcPr>
            <w:tcW w:type="dxa" w:w="1260"/>
            <w:vAlign w:val="center"/>
          </w:tcPr>
          <w:p>
            <w:r/>
            <w:r>
              <w:rPr>
                <w:rFonts w:ascii="Arial" w:hAnsi="Arial"/>
                <w:b w:val="0"/>
                <w:sz w:val="18"/>
              </w:rPr>
              <w:t>SERS-Ab-02</w:t>
            </w:r>
          </w:p>
        </w:tc>
        <w:tc>
          <w:tcPr>
            <w:tcW w:type="dxa" w:w="1260"/>
            <w:vAlign w:val="center"/>
          </w:tcPr>
          <w:p>
            <w:r/>
            <w:r>
              <w:rPr>
                <w:rFonts w:ascii="Arial" w:hAnsi="Arial"/>
                <w:b w:val="0"/>
                <w:sz w:val="18"/>
              </w:rPr>
              <w:t>Silver NP</w:t>
            </w:r>
          </w:p>
        </w:tc>
        <w:tc>
          <w:tcPr>
            <w:tcW w:type="dxa" w:w="1260"/>
            <w:vAlign w:val="center"/>
          </w:tcPr>
          <w:p>
            <w:r/>
            <w:r>
              <w:rPr>
                <w:rFonts w:ascii="Arial" w:hAnsi="Arial"/>
                <w:b w:val="0"/>
                <w:sz w:val="18"/>
              </w:rPr>
              <w:t>Surface linker</w:t>
            </w:r>
          </w:p>
        </w:tc>
        <w:tc>
          <w:tcPr>
            <w:tcW w:type="dxa" w:w="1260"/>
            <w:vAlign w:val="center"/>
          </w:tcPr>
          <w:p>
            <w:r/>
            <w:r>
              <w:rPr>
                <w:rFonts w:ascii="Arial" w:hAnsi="Arial"/>
                <w:b w:val="0"/>
                <w:sz w:val="18"/>
              </w:rPr>
              <w:t>Model Ab</w:t>
            </w:r>
          </w:p>
        </w:tc>
        <w:tc>
          <w:tcPr>
            <w:tcW w:type="dxa" w:w="1260"/>
            <w:vAlign w:val="center"/>
          </w:tcPr>
          <w:p>
            <w:r/>
            <w:r>
              <w:rPr>
                <w:rFonts w:ascii="Arial" w:hAnsi="Arial"/>
                <w:b w:val="0"/>
                <w:sz w:val="18"/>
              </w:rPr>
              <w:t>BSA</w:t>
            </w:r>
          </w:p>
        </w:tc>
        <w:tc>
          <w:tcPr>
            <w:tcW w:type="dxa" w:w="1260"/>
            <w:vAlign w:val="center"/>
          </w:tcPr>
          <w:p>
            <w:r/>
            <w:r>
              <w:rPr>
                <w:rFonts w:ascii="Arial" w:hAnsi="Arial"/>
                <w:b w:val="0"/>
                <w:sz w:val="18"/>
              </w:rPr>
              <w:t>90 min</w:t>
            </w:r>
          </w:p>
        </w:tc>
        <w:tc>
          <w:tcPr>
            <w:tcW w:type="dxa" w:w="1260"/>
            <w:vAlign w:val="center"/>
          </w:tcPr>
          <w:p>
            <w:r/>
            <w:r>
              <w:rPr>
                <w:rFonts w:ascii="Arial" w:hAnsi="Arial"/>
                <w:b w:val="0"/>
                <w:sz w:val="18"/>
              </w:rPr>
              <w:t>Slight turbidity</w:t>
            </w:r>
          </w:p>
        </w:tc>
        <w:tc>
          <w:tcPr>
            <w:tcW w:type="dxa" w:w="1260"/>
            <w:vAlign w:val="center"/>
          </w:tcPr>
          <w:p>
            <w:r/>
            <w:r>
              <w:rPr>
                <w:rFonts w:ascii="Arial" w:hAnsi="Arial"/>
                <w:b w:val="0"/>
                <w:sz w:val="18"/>
              </w:rPr>
              <w:t>DLS needed</w:t>
            </w:r>
          </w:p>
        </w:tc>
      </w:tr>
      <w:tr>
        <w:tc>
          <w:tcPr>
            <w:tcW w:type="dxa" w:w="1260"/>
            <w:vAlign w:val="center"/>
          </w:tcPr>
          <w:p>
            <w:r/>
            <w:r>
              <w:rPr>
                <w:rFonts w:ascii="Arial" w:hAnsi="Arial"/>
                <w:b w:val="0"/>
                <w:sz w:val="18"/>
              </w:rPr>
              <w:t>SERS-Ab-03</w:t>
            </w:r>
          </w:p>
        </w:tc>
        <w:tc>
          <w:tcPr>
            <w:tcW w:type="dxa" w:w="1260"/>
            <w:vAlign w:val="center"/>
          </w:tcPr>
          <w:p>
            <w:r/>
            <w:r>
              <w:rPr>
                <w:rFonts w:ascii="Arial" w:hAnsi="Arial"/>
                <w:b w:val="0"/>
                <w:sz w:val="18"/>
              </w:rPr>
              <w:t>Gold NP</w:t>
            </w:r>
          </w:p>
        </w:tc>
        <w:tc>
          <w:tcPr>
            <w:tcW w:type="dxa" w:w="1260"/>
            <w:vAlign w:val="center"/>
          </w:tcPr>
          <w:p>
            <w:r/>
            <w:r>
              <w:rPr>
                <w:rFonts w:ascii="Arial" w:hAnsi="Arial"/>
                <w:b w:val="0"/>
                <w:sz w:val="18"/>
              </w:rPr>
              <w:t>Thiol linker</w:t>
            </w:r>
          </w:p>
        </w:tc>
        <w:tc>
          <w:tcPr>
            <w:tcW w:type="dxa" w:w="1260"/>
            <w:vAlign w:val="center"/>
          </w:tcPr>
          <w:p>
            <w:r/>
            <w:r>
              <w:rPr>
                <w:rFonts w:ascii="Arial" w:hAnsi="Arial"/>
                <w:b w:val="0"/>
                <w:sz w:val="18"/>
              </w:rPr>
              <w:t>Model Ab</w:t>
            </w:r>
          </w:p>
        </w:tc>
        <w:tc>
          <w:tcPr>
            <w:tcW w:type="dxa" w:w="1260"/>
            <w:vAlign w:val="center"/>
          </w:tcPr>
          <w:p>
            <w:r/>
            <w:r>
              <w:rPr>
                <w:rFonts w:ascii="Arial" w:hAnsi="Arial"/>
                <w:b w:val="0"/>
                <w:sz w:val="18"/>
              </w:rPr>
              <w:t>Casein/BSA</w:t>
            </w:r>
          </w:p>
        </w:tc>
        <w:tc>
          <w:tcPr>
            <w:tcW w:type="dxa" w:w="1260"/>
            <w:vAlign w:val="center"/>
          </w:tcPr>
          <w:p>
            <w:r/>
            <w:r>
              <w:rPr>
                <w:rFonts w:ascii="Arial" w:hAnsi="Arial"/>
                <w:b w:val="0"/>
                <w:sz w:val="18"/>
              </w:rPr>
              <w:t>120 min</w:t>
            </w:r>
          </w:p>
        </w:tc>
        <w:tc>
          <w:tcPr>
            <w:tcW w:type="dxa" w:w="1260"/>
            <w:vAlign w:val="center"/>
          </w:tcPr>
          <w:p>
            <w:r/>
            <w:r>
              <w:rPr>
                <w:rFonts w:ascii="Arial" w:hAnsi="Arial"/>
                <w:b w:val="0"/>
                <w:sz w:val="18"/>
              </w:rPr>
              <w:t>Minor settling</w:t>
            </w:r>
          </w:p>
        </w:tc>
        <w:tc>
          <w:tcPr>
            <w:tcW w:type="dxa" w:w="1260"/>
            <w:vAlign w:val="center"/>
          </w:tcPr>
          <w:p>
            <w:r/>
            <w:r>
              <w:rPr>
                <w:rFonts w:ascii="Arial" w:hAnsi="Arial"/>
                <w:b w:val="0"/>
                <w:sz w:val="18"/>
              </w:rPr>
              <w:t>Binding test needed</w:t>
            </w:r>
          </w:p>
        </w:tc>
      </w:tr>
      <w:tr>
        <w:tc>
          <w:tcPr>
            <w:tcW w:type="dxa" w:w="1260"/>
            <w:vAlign w:val="center"/>
          </w:tcPr>
          <w:p>
            <w:r/>
            <w:r>
              <w:rPr>
                <w:rFonts w:ascii="Arial" w:hAnsi="Arial"/>
                <w:b w:val="0"/>
                <w:sz w:val="18"/>
              </w:rPr>
              <w:t>SERS-Ab-04</w:t>
            </w:r>
          </w:p>
        </w:tc>
        <w:tc>
          <w:tcPr>
            <w:tcW w:type="dxa" w:w="1260"/>
            <w:vAlign w:val="center"/>
          </w:tcPr>
          <w:p>
            <w:r/>
            <w:r>
              <w:rPr>
                <w:rFonts w:ascii="Arial" w:hAnsi="Arial"/>
                <w:b w:val="0"/>
                <w:sz w:val="18"/>
              </w:rPr>
              <w:t>Ag/Au NP</w:t>
            </w:r>
          </w:p>
        </w:tc>
        <w:tc>
          <w:tcPr>
            <w:tcW w:type="dxa" w:w="1260"/>
            <w:vAlign w:val="center"/>
          </w:tcPr>
          <w:p>
            <w:r/>
            <w:r>
              <w:rPr>
                <w:rFonts w:ascii="Arial" w:hAnsi="Arial"/>
                <w:b w:val="0"/>
                <w:sz w:val="18"/>
              </w:rPr>
              <w:t>Reporter + linker</w:t>
            </w:r>
          </w:p>
        </w:tc>
        <w:tc>
          <w:tcPr>
            <w:tcW w:type="dxa" w:w="1260"/>
            <w:vAlign w:val="center"/>
          </w:tcPr>
          <w:p>
            <w:r/>
            <w:r>
              <w:rPr>
                <w:rFonts w:ascii="Arial" w:hAnsi="Arial"/>
                <w:b w:val="0"/>
                <w:sz w:val="18"/>
              </w:rPr>
              <w:t>Model Ab</w:t>
            </w:r>
          </w:p>
        </w:tc>
        <w:tc>
          <w:tcPr>
            <w:tcW w:type="dxa" w:w="1260"/>
            <w:vAlign w:val="center"/>
          </w:tcPr>
          <w:p>
            <w:r/>
            <w:r>
              <w:rPr>
                <w:rFonts w:ascii="Arial" w:hAnsi="Arial"/>
                <w:b w:val="0"/>
                <w:sz w:val="18"/>
              </w:rPr>
              <w:t>BSA</w:t>
            </w:r>
          </w:p>
        </w:tc>
        <w:tc>
          <w:tcPr>
            <w:tcW w:type="dxa" w:w="1260"/>
            <w:vAlign w:val="center"/>
          </w:tcPr>
          <w:p>
            <w:r/>
            <w:r>
              <w:rPr>
                <w:rFonts w:ascii="Arial" w:hAnsi="Arial"/>
                <w:b w:val="0"/>
                <w:sz w:val="18"/>
              </w:rPr>
              <w:t>90 min</w:t>
            </w:r>
          </w:p>
        </w:tc>
        <w:tc>
          <w:tcPr>
            <w:tcW w:type="dxa" w:w="1260"/>
            <w:vAlign w:val="center"/>
          </w:tcPr>
          <w:p>
            <w:r/>
            <w:r>
              <w:rPr>
                <w:rFonts w:ascii="Arial" w:hAnsi="Arial"/>
                <w:b w:val="0"/>
                <w:sz w:val="18"/>
              </w:rPr>
              <w:t>Uniform dispersion</w:t>
            </w:r>
          </w:p>
        </w:tc>
        <w:tc>
          <w:tcPr>
            <w:tcW w:type="dxa" w:w="1260"/>
            <w:vAlign w:val="center"/>
          </w:tcPr>
          <w:p>
            <w:r/>
            <w:r>
              <w:rPr>
                <w:rFonts w:ascii="Arial" w:hAnsi="Arial"/>
                <w:b w:val="0"/>
                <w:sz w:val="18"/>
              </w:rPr>
              <w:t>SERS scan needed</w:t>
            </w:r>
          </w:p>
        </w:tc>
      </w:tr>
    </w:tbl>
    <w:p/>
    <w:p>
      <w:pPr>
        <w:pStyle w:val="Heading1"/>
      </w:pPr>
      <w:r>
        <w:rPr>
          <w:rFonts w:ascii="Arial" w:hAnsi="Arial"/>
        </w:rPr>
        <w:t>14. Offline Characterization Plan</w:t>
      </w:r>
    </w:p>
    <w:p>
      <w:pPr>
        <w:jc w:val="both"/>
      </w:pPr>
      <w:r>
        <w:rPr>
          <w:rFonts w:ascii="Arial" w:hAnsi="Arial"/>
          <w:sz w:val="21"/>
        </w:rPr>
        <w:t>The NSL-supported workflow prepares and documents the probe, but probe quality should be confirmed using suitable external methods. These external tests are essential before any analytical or biological conclusion is made.</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rFonts w:ascii="Arial" w:hAnsi="Arial"/>
                <w:b/>
                <w:sz w:val="18"/>
              </w:rPr>
              <w:t>External Test</w:t>
            </w:r>
          </w:p>
        </w:tc>
        <w:tc>
          <w:tcPr>
            <w:tcW w:type="dxa" w:w="5040"/>
            <w:vAlign w:val="center"/>
            <w:shd w:fill="D9EAF7"/>
          </w:tcPr>
          <w:p>
            <w:r/>
            <w:r>
              <w:rPr>
                <w:rFonts w:ascii="Arial" w:hAnsi="Arial"/>
                <w:b/>
                <w:sz w:val="18"/>
              </w:rPr>
              <w:t>Purpose</w:t>
            </w:r>
          </w:p>
        </w:tc>
      </w:tr>
      <w:tr>
        <w:tc>
          <w:tcPr>
            <w:tcW w:type="dxa" w:w="5040"/>
            <w:vAlign w:val="center"/>
          </w:tcPr>
          <w:p>
            <w:r/>
            <w:r>
              <w:rPr>
                <w:rFonts w:ascii="Arial" w:hAnsi="Arial"/>
                <w:b w:val="0"/>
                <w:sz w:val="18"/>
              </w:rPr>
              <w:t>UV-Vis spectrum</w:t>
            </w:r>
          </w:p>
        </w:tc>
        <w:tc>
          <w:tcPr>
            <w:tcW w:type="dxa" w:w="5040"/>
            <w:vAlign w:val="center"/>
          </w:tcPr>
          <w:p>
            <w:r/>
            <w:r>
              <w:rPr>
                <w:rFonts w:ascii="Arial" w:hAnsi="Arial"/>
                <w:b w:val="0"/>
                <w:sz w:val="18"/>
              </w:rPr>
              <w:t>Checks plasmon band changes and aggregation tendency</w:t>
            </w:r>
          </w:p>
        </w:tc>
      </w:tr>
      <w:tr>
        <w:tc>
          <w:tcPr>
            <w:tcW w:type="dxa" w:w="5040"/>
            <w:vAlign w:val="center"/>
          </w:tcPr>
          <w:p>
            <w:r/>
            <w:r>
              <w:rPr>
                <w:rFonts w:ascii="Arial" w:hAnsi="Arial"/>
                <w:b w:val="0"/>
                <w:sz w:val="18"/>
              </w:rPr>
              <w:t>DLS</w:t>
            </w:r>
          </w:p>
        </w:tc>
        <w:tc>
          <w:tcPr>
            <w:tcW w:type="dxa" w:w="5040"/>
            <w:vAlign w:val="center"/>
          </w:tcPr>
          <w:p>
            <w:r/>
            <w:r>
              <w:rPr>
                <w:rFonts w:ascii="Arial" w:hAnsi="Arial"/>
                <w:b w:val="0"/>
                <w:sz w:val="18"/>
              </w:rPr>
              <w:t>Measures hydrodynamic size after conjugation</w:t>
            </w:r>
          </w:p>
        </w:tc>
      </w:tr>
      <w:tr>
        <w:tc>
          <w:tcPr>
            <w:tcW w:type="dxa" w:w="5040"/>
            <w:vAlign w:val="center"/>
          </w:tcPr>
          <w:p>
            <w:r/>
            <w:r>
              <w:rPr>
                <w:rFonts w:ascii="Arial" w:hAnsi="Arial"/>
                <w:b w:val="0"/>
                <w:sz w:val="18"/>
              </w:rPr>
              <w:t>Zeta potential</w:t>
            </w:r>
          </w:p>
        </w:tc>
        <w:tc>
          <w:tcPr>
            <w:tcW w:type="dxa" w:w="5040"/>
            <w:vAlign w:val="center"/>
          </w:tcPr>
          <w:p>
            <w:r/>
            <w:r>
              <w:rPr>
                <w:rFonts w:ascii="Arial" w:hAnsi="Arial"/>
                <w:b w:val="0"/>
                <w:sz w:val="18"/>
              </w:rPr>
              <w:t>Evaluates surface charge change and stability</w:t>
            </w:r>
          </w:p>
        </w:tc>
      </w:tr>
      <w:tr>
        <w:tc>
          <w:tcPr>
            <w:tcW w:type="dxa" w:w="5040"/>
            <w:vAlign w:val="center"/>
          </w:tcPr>
          <w:p>
            <w:r/>
            <w:r>
              <w:rPr>
                <w:rFonts w:ascii="Arial" w:hAnsi="Arial"/>
                <w:b w:val="0"/>
                <w:sz w:val="18"/>
              </w:rPr>
              <w:t>Protein assay</w:t>
            </w:r>
          </w:p>
        </w:tc>
        <w:tc>
          <w:tcPr>
            <w:tcW w:type="dxa" w:w="5040"/>
            <w:vAlign w:val="center"/>
          </w:tcPr>
          <w:p>
            <w:r/>
            <w:r>
              <w:rPr>
                <w:rFonts w:ascii="Arial" w:hAnsi="Arial"/>
                <w:b w:val="0"/>
                <w:sz w:val="18"/>
              </w:rPr>
              <w:t>Estimates antibody attachment or unbound antibody</w:t>
            </w:r>
          </w:p>
        </w:tc>
      </w:tr>
      <w:tr>
        <w:tc>
          <w:tcPr>
            <w:tcW w:type="dxa" w:w="5040"/>
            <w:vAlign w:val="center"/>
          </w:tcPr>
          <w:p>
            <w:r/>
            <w:r>
              <w:rPr>
                <w:rFonts w:ascii="Arial" w:hAnsi="Arial"/>
                <w:b w:val="0"/>
                <w:sz w:val="18"/>
              </w:rPr>
              <w:t>Raman / SERS spectroscopy</w:t>
            </w:r>
          </w:p>
        </w:tc>
        <w:tc>
          <w:tcPr>
            <w:tcW w:type="dxa" w:w="5040"/>
            <w:vAlign w:val="center"/>
          </w:tcPr>
          <w:p>
            <w:r/>
            <w:r>
              <w:rPr>
                <w:rFonts w:ascii="Arial" w:hAnsi="Arial"/>
                <w:b w:val="0"/>
                <w:sz w:val="18"/>
              </w:rPr>
              <w:t>Confirms spectral signal and enhancement behaviour</w:t>
            </w:r>
          </w:p>
        </w:tc>
      </w:tr>
      <w:tr>
        <w:tc>
          <w:tcPr>
            <w:tcW w:type="dxa" w:w="5040"/>
            <w:vAlign w:val="center"/>
          </w:tcPr>
          <w:p>
            <w:r/>
            <w:r>
              <w:rPr>
                <w:rFonts w:ascii="Arial" w:hAnsi="Arial"/>
                <w:b w:val="0"/>
                <w:sz w:val="18"/>
              </w:rPr>
              <w:t>Antigen binding test</w:t>
            </w:r>
          </w:p>
        </w:tc>
        <w:tc>
          <w:tcPr>
            <w:tcW w:type="dxa" w:w="5040"/>
            <w:vAlign w:val="center"/>
          </w:tcPr>
          <w:p>
            <w:r/>
            <w:r>
              <w:rPr>
                <w:rFonts w:ascii="Arial" w:hAnsi="Arial"/>
                <w:b w:val="0"/>
                <w:sz w:val="18"/>
              </w:rPr>
              <w:t>Checks biological recognition performance</w:t>
            </w:r>
          </w:p>
        </w:tc>
      </w:tr>
      <w:tr>
        <w:tc>
          <w:tcPr>
            <w:tcW w:type="dxa" w:w="5040"/>
            <w:vAlign w:val="center"/>
          </w:tcPr>
          <w:p>
            <w:r/>
            <w:r>
              <w:rPr>
                <w:rFonts w:ascii="Arial" w:hAnsi="Arial"/>
                <w:b w:val="0"/>
                <w:sz w:val="18"/>
              </w:rPr>
              <w:t>Specificity test</w:t>
            </w:r>
          </w:p>
        </w:tc>
        <w:tc>
          <w:tcPr>
            <w:tcW w:type="dxa" w:w="5040"/>
            <w:vAlign w:val="center"/>
          </w:tcPr>
          <w:p>
            <w:r/>
            <w:r>
              <w:rPr>
                <w:rFonts w:ascii="Arial" w:hAnsi="Arial"/>
                <w:b w:val="0"/>
                <w:sz w:val="18"/>
              </w:rPr>
              <w:t>Compares target and non-target antigen response</w:t>
            </w:r>
          </w:p>
        </w:tc>
      </w:tr>
      <w:tr>
        <w:tc>
          <w:tcPr>
            <w:tcW w:type="dxa" w:w="5040"/>
            <w:vAlign w:val="center"/>
          </w:tcPr>
          <w:p>
            <w:r/>
            <w:r>
              <w:rPr>
                <w:rFonts w:ascii="Arial" w:hAnsi="Arial"/>
                <w:b w:val="0"/>
                <w:sz w:val="18"/>
              </w:rPr>
              <w:t>Stability study</w:t>
            </w:r>
          </w:p>
        </w:tc>
        <w:tc>
          <w:tcPr>
            <w:tcW w:type="dxa" w:w="5040"/>
            <w:vAlign w:val="center"/>
          </w:tcPr>
          <w:p>
            <w:r/>
            <w:r>
              <w:rPr>
                <w:rFonts w:ascii="Arial" w:hAnsi="Arial"/>
                <w:b w:val="0"/>
                <w:sz w:val="18"/>
              </w:rPr>
              <w:t>Checks probe behaviour during storage</w:t>
            </w:r>
          </w:p>
        </w:tc>
      </w:tr>
      <w:tr>
        <w:tc>
          <w:tcPr>
            <w:tcW w:type="dxa" w:w="5040"/>
            <w:vAlign w:val="center"/>
          </w:tcPr>
          <w:p>
            <w:r/>
            <w:r>
              <w:rPr>
                <w:rFonts w:ascii="Arial" w:hAnsi="Arial"/>
                <w:b w:val="0"/>
                <w:sz w:val="18"/>
              </w:rPr>
              <w:t>Microscopy</w:t>
            </w:r>
          </w:p>
        </w:tc>
        <w:tc>
          <w:tcPr>
            <w:tcW w:type="dxa" w:w="5040"/>
            <w:vAlign w:val="center"/>
          </w:tcPr>
          <w:p>
            <w:r/>
            <w:r>
              <w:rPr>
                <w:rFonts w:ascii="Arial" w:hAnsi="Arial"/>
                <w:b w:val="0"/>
                <w:sz w:val="18"/>
              </w:rPr>
              <w:t>Observes morphology or aggregation state</w:t>
            </w:r>
          </w:p>
        </w:tc>
      </w:tr>
    </w:tbl>
    <w:p/>
    <w:p>
      <w:pPr>
        <w:pStyle w:val="Heading1"/>
      </w:pPr>
      <w:r>
        <w:rPr>
          <w:rFonts w:ascii="Arial" w:hAnsi="Arial"/>
        </w:rPr>
        <w:t>15. Webinar Explanation Strategy</w:t>
      </w:r>
    </w:p>
    <w:p>
      <w:pPr>
        <w:jc w:val="both"/>
      </w:pPr>
      <w:r>
        <w:rPr>
          <w:rFonts w:ascii="Arial" w:hAnsi="Arial"/>
          <w:sz w:val="21"/>
        </w:rPr>
        <w:t>For webinar delivery, this protocol can be explained as a bridge between nanomaterial synthesis and biosensing. A simple explanation is:</w:t>
      </w:r>
    </w:p>
    <w:p>
      <w:pPr>
        <w:jc w:val="both"/>
      </w:pPr>
      <w:r>
        <w:rPr>
          <w:rFonts w:ascii="Arial" w:hAnsi="Arial"/>
          <w:sz w:val="21"/>
        </w:rPr>
        <w:t>“In this protocol, we prepare a nanoparticle-antibody probe that is intended for SERS-based antigen recognition studies. Protoly converts the probe preparation into a structured workflow, and NSL supports physical steps such as dispensing, stirring, waiting, mild conditioning, sonication, and visual documentation. Raman spectral testing and antigen-binding validation are performed separately.”</w:t>
      </w:r>
    </w:p>
    <w:p>
      <w:pPr>
        <w:jc w:val="both"/>
      </w:pPr>
      <w:r>
        <w:rPr>
          <w:rFonts w:ascii="Arial" w:hAnsi="Arial"/>
          <w:sz w:val="21"/>
        </w:rPr>
        <w:t>This explanation is clear, credible, and avoids overstating the capability of the NSL platform. It also helps participants understand that automation supports preparation and documentation, while analytical validation remains a separate scientific requirement.</w:t>
      </w:r>
    </w:p>
    <w:p>
      <w:pPr>
        <w:pStyle w:val="Heading1"/>
      </w:pPr>
      <w:r>
        <w:rPr>
          <w:rFonts w:ascii="Arial" w:hAnsi="Arial"/>
        </w:rPr>
        <w:t>16. How This Protocol Fits the Protoly Library</w:t>
      </w:r>
    </w:p>
    <w:p>
      <w:pPr>
        <w:jc w:val="both"/>
      </w:pPr>
      <w:r>
        <w:rPr>
          <w:rFonts w:ascii="Arial" w:hAnsi="Arial"/>
          <w:sz w:val="21"/>
        </w:rPr>
        <w:t>This protocol expands the Protoly library into SERS-based bioanalytical probe development. It builds logically after nanoparticle synthesis, antibody conjugation, and antigen-antibody nanomaterial complex assembly. It also helps show how different protocols can be linked into a larger product-development or research workflow.</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rFonts w:ascii="Arial" w:hAnsi="Arial"/>
                <w:b/>
                <w:sz w:val="18"/>
              </w:rPr>
              <w:t>Related Protoly Area</w:t>
            </w:r>
          </w:p>
        </w:tc>
        <w:tc>
          <w:tcPr>
            <w:tcW w:type="dxa" w:w="5040"/>
            <w:vAlign w:val="center"/>
            <w:shd w:fill="D9EAF7"/>
          </w:tcPr>
          <w:p>
            <w:r/>
            <w:r>
              <w:rPr>
                <w:rFonts w:ascii="Arial" w:hAnsi="Arial"/>
                <w:b/>
                <w:sz w:val="18"/>
              </w:rPr>
              <w:t>Connection</w:t>
            </w:r>
          </w:p>
        </w:tc>
      </w:tr>
      <w:tr>
        <w:tc>
          <w:tcPr>
            <w:tcW w:type="dxa" w:w="5040"/>
            <w:vAlign w:val="center"/>
          </w:tcPr>
          <w:p>
            <w:r/>
            <w:r>
              <w:rPr>
                <w:rFonts w:ascii="Arial" w:hAnsi="Arial"/>
                <w:b w:val="0"/>
                <w:sz w:val="18"/>
              </w:rPr>
              <w:t>Gold/silver nanoparticle synthesis</w:t>
            </w:r>
          </w:p>
        </w:tc>
        <w:tc>
          <w:tcPr>
            <w:tcW w:type="dxa" w:w="5040"/>
            <w:vAlign w:val="center"/>
          </w:tcPr>
          <w:p>
            <w:r/>
            <w:r>
              <w:rPr>
                <w:rFonts w:ascii="Arial" w:hAnsi="Arial"/>
                <w:b w:val="0"/>
                <w:sz w:val="18"/>
              </w:rPr>
              <w:t>Provides the plasmonic base material</w:t>
            </w:r>
          </w:p>
        </w:tc>
      </w:tr>
      <w:tr>
        <w:tc>
          <w:tcPr>
            <w:tcW w:type="dxa" w:w="5040"/>
            <w:vAlign w:val="center"/>
          </w:tcPr>
          <w:p>
            <w:r/>
            <w:r>
              <w:rPr>
                <w:rFonts w:ascii="Arial" w:hAnsi="Arial"/>
                <w:b w:val="0"/>
                <w:sz w:val="18"/>
              </w:rPr>
              <w:t>Antibody conjugation</w:t>
            </w:r>
          </w:p>
        </w:tc>
        <w:tc>
          <w:tcPr>
            <w:tcW w:type="dxa" w:w="5040"/>
            <w:vAlign w:val="center"/>
          </w:tcPr>
          <w:p>
            <w:r/>
            <w:r>
              <w:rPr>
                <w:rFonts w:ascii="Arial" w:hAnsi="Arial"/>
                <w:b w:val="0"/>
                <w:sz w:val="18"/>
              </w:rPr>
              <w:t>Adds biological recognition function</w:t>
            </w:r>
          </w:p>
        </w:tc>
      </w:tr>
      <w:tr>
        <w:tc>
          <w:tcPr>
            <w:tcW w:type="dxa" w:w="5040"/>
            <w:vAlign w:val="center"/>
          </w:tcPr>
          <w:p>
            <w:r/>
            <w:r>
              <w:rPr>
                <w:rFonts w:ascii="Arial" w:hAnsi="Arial"/>
                <w:b w:val="0"/>
                <w:sz w:val="18"/>
              </w:rPr>
              <w:t>Protein corona studies</w:t>
            </w:r>
          </w:p>
        </w:tc>
        <w:tc>
          <w:tcPr>
            <w:tcW w:type="dxa" w:w="5040"/>
            <w:vAlign w:val="center"/>
          </w:tcPr>
          <w:p>
            <w:r/>
            <w:r>
              <w:rPr>
                <w:rFonts w:ascii="Arial" w:hAnsi="Arial"/>
                <w:b w:val="0"/>
                <w:sz w:val="18"/>
              </w:rPr>
              <w:t>Helps understand bio-interface effects</w:t>
            </w:r>
          </w:p>
        </w:tc>
      </w:tr>
      <w:tr>
        <w:tc>
          <w:tcPr>
            <w:tcW w:type="dxa" w:w="5040"/>
            <w:vAlign w:val="center"/>
          </w:tcPr>
          <w:p>
            <w:r/>
            <w:r>
              <w:rPr>
                <w:rFonts w:ascii="Arial" w:hAnsi="Arial"/>
                <w:b w:val="0"/>
                <w:sz w:val="18"/>
              </w:rPr>
              <w:t>Antigen-antibody complex assembly</w:t>
            </w:r>
          </w:p>
        </w:tc>
        <w:tc>
          <w:tcPr>
            <w:tcW w:type="dxa" w:w="5040"/>
            <w:vAlign w:val="center"/>
          </w:tcPr>
          <w:p>
            <w:r/>
            <w:r>
              <w:rPr>
                <w:rFonts w:ascii="Arial" w:hAnsi="Arial"/>
                <w:b w:val="0"/>
                <w:sz w:val="18"/>
              </w:rPr>
              <w:t>Tests recognition interaction</w:t>
            </w:r>
          </w:p>
        </w:tc>
      </w:tr>
      <w:tr>
        <w:tc>
          <w:tcPr>
            <w:tcW w:type="dxa" w:w="5040"/>
            <w:vAlign w:val="center"/>
          </w:tcPr>
          <w:p>
            <w:r/>
            <w:r>
              <w:rPr>
                <w:rFonts w:ascii="Arial" w:hAnsi="Arial"/>
                <w:b w:val="0"/>
                <w:sz w:val="18"/>
              </w:rPr>
              <w:t>SERS probe preparation</w:t>
            </w:r>
          </w:p>
        </w:tc>
        <w:tc>
          <w:tcPr>
            <w:tcW w:type="dxa" w:w="5040"/>
            <w:vAlign w:val="center"/>
          </w:tcPr>
          <w:p>
            <w:r/>
            <w:r>
              <w:rPr>
                <w:rFonts w:ascii="Arial" w:hAnsi="Arial"/>
                <w:b w:val="0"/>
                <w:sz w:val="18"/>
              </w:rPr>
              <w:t>Adds Raman-based detection concept</w:t>
            </w:r>
          </w:p>
        </w:tc>
      </w:tr>
      <w:tr>
        <w:tc>
          <w:tcPr>
            <w:tcW w:type="dxa" w:w="5040"/>
            <w:vAlign w:val="center"/>
          </w:tcPr>
          <w:p>
            <w:r/>
            <w:r>
              <w:rPr>
                <w:rFonts w:ascii="Arial" w:hAnsi="Arial"/>
                <w:b w:val="0"/>
                <w:sz w:val="18"/>
              </w:rPr>
              <w:t>External spectroscopy</w:t>
            </w:r>
          </w:p>
        </w:tc>
        <w:tc>
          <w:tcPr>
            <w:tcW w:type="dxa" w:w="5040"/>
            <w:vAlign w:val="center"/>
          </w:tcPr>
          <w:p>
            <w:r/>
            <w:r>
              <w:rPr>
                <w:rFonts w:ascii="Arial" w:hAnsi="Arial"/>
                <w:b w:val="0"/>
                <w:sz w:val="18"/>
              </w:rPr>
              <w:t>Provides validation and analytical output</w:t>
            </w:r>
          </w:p>
        </w:tc>
      </w:tr>
    </w:tbl>
    <w:p/>
    <w:p>
      <w:pPr>
        <w:pStyle w:val="Heading1"/>
      </w:pPr>
      <w:r>
        <w:rPr>
          <w:rFonts w:ascii="Arial" w:hAnsi="Arial"/>
        </w:rPr>
        <w:t>17. Safety and Handling Considerations</w:t>
      </w:r>
    </w:p>
    <w:p>
      <w:pPr>
        <w:pStyle w:val="ListBullet"/>
      </w:pPr>
      <w:r>
        <w:rPr>
          <w:rFonts w:ascii="Arial" w:hAnsi="Arial"/>
          <w:sz w:val="21"/>
        </w:rPr>
        <w:t>Use safe, non-pathogenic model antigen-antibody pairs for demonstration.</w:t>
      </w:r>
    </w:p>
    <w:p>
      <w:pPr>
        <w:pStyle w:val="ListBullet"/>
      </w:pPr>
      <w:r>
        <w:rPr>
          <w:rFonts w:ascii="Arial" w:hAnsi="Arial"/>
          <w:sz w:val="21"/>
        </w:rPr>
        <w:t>Do not use clinical samples or infectious materials in a general webinar workflow.</w:t>
      </w:r>
    </w:p>
    <w:p>
      <w:pPr>
        <w:pStyle w:val="ListBullet"/>
      </w:pPr>
      <w:r>
        <w:rPr>
          <w:rFonts w:ascii="Arial" w:hAnsi="Arial"/>
          <w:sz w:val="21"/>
        </w:rPr>
        <w:t>Handle nanoparticle dispersions carefully and avoid aerosol generation.</w:t>
      </w:r>
    </w:p>
    <w:p>
      <w:pPr>
        <w:pStyle w:val="ListBullet"/>
      </w:pPr>
      <w:r>
        <w:rPr>
          <w:rFonts w:ascii="Arial" w:hAnsi="Arial"/>
          <w:sz w:val="21"/>
        </w:rPr>
        <w:t>Use gloves, lab coat, and eye protection during wet-lab handling.</w:t>
      </w:r>
    </w:p>
    <w:p>
      <w:pPr>
        <w:pStyle w:val="ListBullet"/>
      </w:pPr>
      <w:r>
        <w:rPr>
          <w:rFonts w:ascii="Arial" w:hAnsi="Arial"/>
          <w:sz w:val="21"/>
        </w:rPr>
        <w:t>Avoid strong heating or harsh sonication after antibody addition, as proteins may denature.</w:t>
      </w:r>
    </w:p>
    <w:p>
      <w:pPr>
        <w:pStyle w:val="ListBullet"/>
      </w:pPr>
      <w:r>
        <w:rPr>
          <w:rFonts w:ascii="Arial" w:hAnsi="Arial"/>
          <w:sz w:val="21"/>
        </w:rPr>
        <w:t>Label all batches clearly and maintain a batch record.</w:t>
      </w:r>
    </w:p>
    <w:p>
      <w:pPr>
        <w:pStyle w:val="ListBullet"/>
      </w:pPr>
      <w:r>
        <w:rPr>
          <w:rFonts w:ascii="Arial" w:hAnsi="Arial"/>
          <w:sz w:val="21"/>
        </w:rPr>
        <w:t>Dispose of nanoparticle-containing waste according to laboratory rules.</w:t>
      </w:r>
    </w:p>
    <w:p>
      <w:pPr>
        <w:pStyle w:val="ListBullet"/>
      </w:pPr>
      <w:r>
        <w:rPr>
          <w:rFonts w:ascii="Arial" w:hAnsi="Arial"/>
          <w:sz w:val="21"/>
        </w:rPr>
        <w:t>Do not describe the prepared probe as a diagnostic product unless it has been validated appropriately.</w:t>
      </w:r>
    </w:p>
    <w:p>
      <w:pPr>
        <w:pStyle w:val="Heading1"/>
      </w:pPr>
      <w:r>
        <w:rPr>
          <w:rFonts w:ascii="Arial" w:hAnsi="Arial"/>
        </w:rPr>
        <w:t>18. Limitations</w:t>
      </w:r>
    </w:p>
    <w:p>
      <w:pPr>
        <w:jc w:val="both"/>
      </w:pPr>
      <w:r>
        <w:rPr>
          <w:rFonts w:ascii="Arial" w:hAnsi="Arial"/>
          <w:sz w:val="21"/>
        </w:rPr>
        <w:t>This protocol has a defined preparation and demonstration scope. It does not by itself prove analytical performance or biological specificity. The following limitations should be clearly communicated:</w:t>
      </w:r>
    </w:p>
    <w:p>
      <w:pPr>
        <w:pStyle w:val="ListBullet"/>
      </w:pPr>
      <w:r>
        <w:rPr>
          <w:rFonts w:ascii="Arial" w:hAnsi="Arial"/>
          <w:sz w:val="21"/>
        </w:rPr>
        <w:t>It does not confirm SERS activity without external Raman measurement.</w:t>
      </w:r>
    </w:p>
    <w:p>
      <w:pPr>
        <w:pStyle w:val="ListBullet"/>
      </w:pPr>
      <w:r>
        <w:rPr>
          <w:rFonts w:ascii="Arial" w:hAnsi="Arial"/>
          <w:sz w:val="21"/>
        </w:rPr>
        <w:t>It does not prove antigen recognition without a binding assay.</w:t>
      </w:r>
    </w:p>
    <w:p>
      <w:pPr>
        <w:pStyle w:val="ListBullet"/>
      </w:pPr>
      <w:r>
        <w:rPr>
          <w:rFonts w:ascii="Arial" w:hAnsi="Arial"/>
          <w:sz w:val="21"/>
        </w:rPr>
        <w:t>It does not quantify antibody conjugation efficiency by itself.</w:t>
      </w:r>
    </w:p>
    <w:p>
      <w:pPr>
        <w:pStyle w:val="ListBullet"/>
      </w:pPr>
      <w:r>
        <w:rPr>
          <w:rFonts w:ascii="Arial" w:hAnsi="Arial"/>
          <w:sz w:val="21"/>
        </w:rPr>
        <w:t>It does not measure nanoparticle size or surface charge within the NSL workflow.</w:t>
      </w:r>
    </w:p>
    <w:p>
      <w:pPr>
        <w:pStyle w:val="ListBullet"/>
      </w:pPr>
      <w:r>
        <w:rPr>
          <w:rFonts w:ascii="Arial" w:hAnsi="Arial"/>
          <w:sz w:val="21"/>
        </w:rPr>
        <w:t>It does not establish specificity against non-target antigens.</w:t>
      </w:r>
    </w:p>
    <w:p>
      <w:pPr>
        <w:pStyle w:val="ListBullet"/>
      </w:pPr>
      <w:r>
        <w:rPr>
          <w:rFonts w:ascii="Arial" w:hAnsi="Arial"/>
          <w:sz w:val="21"/>
        </w:rPr>
        <w:t>It does not validate diagnostic sensitivity or limit of detection.</w:t>
      </w:r>
    </w:p>
    <w:p>
      <w:pPr>
        <w:pStyle w:val="ListBullet"/>
      </w:pPr>
      <w:r>
        <w:rPr>
          <w:rFonts w:ascii="Arial" w:hAnsi="Arial"/>
          <w:sz w:val="21"/>
        </w:rPr>
        <w:t>It does not establish shelf-life or long-term probe stability.</w:t>
      </w:r>
    </w:p>
    <w:p>
      <w:pPr>
        <w:pStyle w:val="ListBullet"/>
      </w:pPr>
      <w:r>
        <w:rPr>
          <w:rFonts w:ascii="Arial" w:hAnsi="Arial"/>
          <w:sz w:val="21"/>
        </w:rPr>
        <w:t>It does not include clinical validation, regulatory validation, or medical-device qualification.</w:t>
      </w:r>
    </w:p>
    <w:p>
      <w:pPr>
        <w:pStyle w:val="Heading1"/>
      </w:pPr>
      <w:r>
        <w:rPr>
          <w:rFonts w:ascii="Arial" w:hAnsi="Arial"/>
        </w:rPr>
        <w:t>19. Future Development Possibilities</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rFonts w:ascii="Arial" w:hAnsi="Arial"/>
                <w:b/>
                <w:sz w:val="18"/>
              </w:rPr>
              <w:t>Future Extension</w:t>
            </w:r>
          </w:p>
        </w:tc>
        <w:tc>
          <w:tcPr>
            <w:tcW w:type="dxa" w:w="5040"/>
            <w:vAlign w:val="center"/>
            <w:shd w:fill="D9EAF7"/>
          </w:tcPr>
          <w:p>
            <w:r/>
            <w:r>
              <w:rPr>
                <w:rFonts w:ascii="Arial" w:hAnsi="Arial"/>
                <w:b/>
                <w:sz w:val="18"/>
              </w:rPr>
              <w:t>Purpose</w:t>
            </w:r>
          </w:p>
        </w:tc>
      </w:tr>
      <w:tr>
        <w:tc>
          <w:tcPr>
            <w:tcW w:type="dxa" w:w="5040"/>
            <w:vAlign w:val="center"/>
          </w:tcPr>
          <w:p>
            <w:r/>
            <w:r>
              <w:rPr>
                <w:rFonts w:ascii="Arial" w:hAnsi="Arial"/>
                <w:b w:val="0"/>
                <w:sz w:val="18"/>
              </w:rPr>
              <w:t>Reporter-labelled SERS probe study</w:t>
            </w:r>
          </w:p>
        </w:tc>
        <w:tc>
          <w:tcPr>
            <w:tcW w:type="dxa" w:w="5040"/>
            <w:vAlign w:val="center"/>
          </w:tcPr>
          <w:p>
            <w:r/>
            <w:r>
              <w:rPr>
                <w:rFonts w:ascii="Arial" w:hAnsi="Arial"/>
                <w:b w:val="0"/>
                <w:sz w:val="18"/>
              </w:rPr>
              <w:t>Introduce Raman reporter molecules and compare spectra</w:t>
            </w:r>
          </w:p>
        </w:tc>
      </w:tr>
      <w:tr>
        <w:tc>
          <w:tcPr>
            <w:tcW w:type="dxa" w:w="5040"/>
            <w:vAlign w:val="center"/>
          </w:tcPr>
          <w:p>
            <w:r/>
            <w:r>
              <w:rPr>
                <w:rFonts w:ascii="Arial" w:hAnsi="Arial"/>
                <w:b w:val="0"/>
                <w:sz w:val="18"/>
              </w:rPr>
              <w:t>Antibody concentration optimization</w:t>
            </w:r>
          </w:p>
        </w:tc>
        <w:tc>
          <w:tcPr>
            <w:tcW w:type="dxa" w:w="5040"/>
            <w:vAlign w:val="center"/>
          </w:tcPr>
          <w:p>
            <w:r/>
            <w:r>
              <w:rPr>
                <w:rFonts w:ascii="Arial" w:hAnsi="Arial"/>
                <w:b w:val="0"/>
                <w:sz w:val="18"/>
              </w:rPr>
              <w:t>Find suitable surface coverage and stability</w:t>
            </w:r>
          </w:p>
        </w:tc>
      </w:tr>
      <w:tr>
        <w:tc>
          <w:tcPr>
            <w:tcW w:type="dxa" w:w="5040"/>
            <w:vAlign w:val="center"/>
          </w:tcPr>
          <w:p>
            <w:r/>
            <w:r>
              <w:rPr>
                <w:rFonts w:ascii="Arial" w:hAnsi="Arial"/>
                <w:b w:val="0"/>
                <w:sz w:val="18"/>
              </w:rPr>
              <w:t>Blocking agent comparison</w:t>
            </w:r>
          </w:p>
        </w:tc>
        <w:tc>
          <w:tcPr>
            <w:tcW w:type="dxa" w:w="5040"/>
            <w:vAlign w:val="center"/>
          </w:tcPr>
          <w:p>
            <w:r/>
            <w:r>
              <w:rPr>
                <w:rFonts w:ascii="Arial" w:hAnsi="Arial"/>
                <w:b w:val="0"/>
                <w:sz w:val="18"/>
              </w:rPr>
              <w:t>Reduce non-specific binding</w:t>
            </w:r>
          </w:p>
        </w:tc>
      </w:tr>
      <w:tr>
        <w:tc>
          <w:tcPr>
            <w:tcW w:type="dxa" w:w="5040"/>
            <w:vAlign w:val="center"/>
          </w:tcPr>
          <w:p>
            <w:r/>
            <w:r>
              <w:rPr>
                <w:rFonts w:ascii="Arial" w:hAnsi="Arial"/>
                <w:b w:val="0"/>
                <w:sz w:val="18"/>
              </w:rPr>
              <w:t>Gold versus silver SERS probe comparison</w:t>
            </w:r>
          </w:p>
        </w:tc>
        <w:tc>
          <w:tcPr>
            <w:tcW w:type="dxa" w:w="5040"/>
            <w:vAlign w:val="center"/>
          </w:tcPr>
          <w:p>
            <w:r/>
            <w:r>
              <w:rPr>
                <w:rFonts w:ascii="Arial" w:hAnsi="Arial"/>
                <w:b w:val="0"/>
                <w:sz w:val="18"/>
              </w:rPr>
              <w:t>Compare stability and spectral response</w:t>
            </w:r>
          </w:p>
        </w:tc>
      </w:tr>
      <w:tr>
        <w:tc>
          <w:tcPr>
            <w:tcW w:type="dxa" w:w="5040"/>
            <w:vAlign w:val="center"/>
          </w:tcPr>
          <w:p>
            <w:r/>
            <w:r>
              <w:rPr>
                <w:rFonts w:ascii="Arial" w:hAnsi="Arial"/>
                <w:b w:val="0"/>
                <w:sz w:val="18"/>
              </w:rPr>
              <w:t>Target antigen calibration model</w:t>
            </w:r>
          </w:p>
        </w:tc>
        <w:tc>
          <w:tcPr>
            <w:tcW w:type="dxa" w:w="5040"/>
            <w:vAlign w:val="center"/>
          </w:tcPr>
          <w:p>
            <w:r/>
            <w:r>
              <w:rPr>
                <w:rFonts w:ascii="Arial" w:hAnsi="Arial"/>
                <w:b w:val="0"/>
                <w:sz w:val="18"/>
              </w:rPr>
              <w:t>Develop preliminary concentration-response curve</w:t>
            </w:r>
          </w:p>
        </w:tc>
      </w:tr>
      <w:tr>
        <w:tc>
          <w:tcPr>
            <w:tcW w:type="dxa" w:w="5040"/>
            <w:vAlign w:val="center"/>
          </w:tcPr>
          <w:p>
            <w:r/>
            <w:r>
              <w:rPr>
                <w:rFonts w:ascii="Arial" w:hAnsi="Arial"/>
                <w:b w:val="0"/>
                <w:sz w:val="18"/>
              </w:rPr>
              <w:t>Manual versus NSL-assisted preparation comparison</w:t>
            </w:r>
          </w:p>
        </w:tc>
        <w:tc>
          <w:tcPr>
            <w:tcW w:type="dxa" w:w="5040"/>
            <w:vAlign w:val="center"/>
          </w:tcPr>
          <w:p>
            <w:r/>
            <w:r>
              <w:rPr>
                <w:rFonts w:ascii="Arial" w:hAnsi="Arial"/>
                <w:b w:val="0"/>
                <w:sz w:val="18"/>
              </w:rPr>
              <w:t>Demonstrate repeatability advantage</w:t>
            </w:r>
          </w:p>
        </w:tc>
      </w:tr>
      <w:tr>
        <w:tc>
          <w:tcPr>
            <w:tcW w:type="dxa" w:w="5040"/>
            <w:vAlign w:val="center"/>
          </w:tcPr>
          <w:p>
            <w:r/>
            <w:r>
              <w:rPr>
                <w:rFonts w:ascii="Arial" w:hAnsi="Arial"/>
                <w:b w:val="0"/>
                <w:sz w:val="18"/>
              </w:rPr>
              <w:t>Storage stability screening</w:t>
            </w:r>
          </w:p>
        </w:tc>
        <w:tc>
          <w:tcPr>
            <w:tcW w:type="dxa" w:w="5040"/>
            <w:vAlign w:val="center"/>
          </w:tcPr>
          <w:p>
            <w:r/>
            <w:r>
              <w:rPr>
                <w:rFonts w:ascii="Arial" w:hAnsi="Arial"/>
                <w:b w:val="0"/>
                <w:sz w:val="18"/>
              </w:rPr>
              <w:t>Observe spectral and dispersion stability over time</w:t>
            </w:r>
          </w:p>
        </w:tc>
      </w:tr>
      <w:tr>
        <w:tc>
          <w:tcPr>
            <w:tcW w:type="dxa" w:w="5040"/>
            <w:vAlign w:val="center"/>
          </w:tcPr>
          <w:p>
            <w:r/>
            <w:r>
              <w:rPr>
                <w:rFonts w:ascii="Arial" w:hAnsi="Arial"/>
                <w:b w:val="0"/>
                <w:sz w:val="18"/>
              </w:rPr>
              <w:t>Multiplex SERS probe concept</w:t>
            </w:r>
          </w:p>
        </w:tc>
        <w:tc>
          <w:tcPr>
            <w:tcW w:type="dxa" w:w="5040"/>
            <w:vAlign w:val="center"/>
          </w:tcPr>
          <w:p>
            <w:r/>
            <w:r>
              <w:rPr>
                <w:rFonts w:ascii="Arial" w:hAnsi="Arial"/>
                <w:b w:val="0"/>
                <w:sz w:val="18"/>
              </w:rPr>
              <w:t>Use different reporter signals for different targets</w:t>
            </w:r>
          </w:p>
        </w:tc>
      </w:tr>
    </w:tbl>
    <w:p/>
    <w:p>
      <w:pPr>
        <w:pStyle w:val="Heading1"/>
      </w:pPr>
      <w:r>
        <w:rPr>
          <w:rFonts w:ascii="Arial" w:hAnsi="Arial"/>
        </w:rPr>
        <w:t>20. Suggested Supporting Information Summary</w:t>
      </w:r>
    </w:p>
    <w:p>
      <w:pPr>
        <w:jc w:val="both"/>
      </w:pPr>
      <w:r>
        <w:rPr>
          <w:rFonts w:ascii="Arial" w:hAnsi="Arial"/>
          <w:sz w:val="21"/>
        </w:rPr>
        <w:t>This protocol demonstrates an automation-assisted workflow for preparing SERS-ready gold or silver nanoparticle-antibody probes for antigen recognition studies. The NSL platform supports the preparation stage through reagent dispensing, gentle mixing, waiting, optional mild heating, optional sonication, illumination, camera documentation, exhaust control, and environment recording. Protoly provides the structured protocol-management layer that helps define, repeat, and compare preparation batches.</w:t>
      </w:r>
    </w:p>
    <w:p>
      <w:pPr>
        <w:jc w:val="both"/>
      </w:pPr>
      <w:r>
        <w:rPr>
          <w:rFonts w:ascii="Arial" w:hAnsi="Arial"/>
          <w:sz w:val="21"/>
        </w:rPr>
        <w:t>The workflow is intended for research, training, and early-stage probe development only. It does not independently confirm SERS enhancement, antigen specificity, antibody conjugation efficiency, diagnostic sensitivity, sterility, or clinical suitability. These outcomes require external Raman spectroscopy, nanoparticle characterization, protein analysis, and biological binding studies.</w:t>
      </w:r>
    </w:p>
    <w:p>
      <w:pPr>
        <w:jc w:val="both"/>
      </w:pPr>
      <w:r>
        <w:rPr>
          <w:rFonts w:ascii="Arial" w:hAnsi="Arial"/>
          <w:sz w:val="21"/>
        </w:rPr>
        <w:t>Overall, this protocol is valuable because it connects plasmonic nanomaterials, antibody-based recognition, and SERS detection concepts within a single structured preparation workflow. It helps demonstrate how Protoly and NSL can support bioanalytical probe development while clearly separating preparation support from external analytical validation.</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Protocol_13_details | Supporting Information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