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36"/>
        </w:rPr>
        <w:t>Supporting Information Document</w:t>
      </w:r>
    </w:p>
    <w:p>
      <w:pPr>
        <w:jc w:val="center"/>
      </w:pPr>
      <w:r>
        <w:rPr>
          <w:rFonts w:ascii="Arial" w:hAnsi="Arial"/>
          <w:b/>
          <w:sz w:val="26"/>
        </w:rPr>
        <w:t>Protocol 14: Automated Assembly of Antigen-Antibody Nanomaterial Complexes Using Functionalized Gold or Silver Nanoparticles</w:t>
      </w:r>
    </w:p>
    <w:p>
      <w:pPr>
        <w:jc w:val="center"/>
      </w:pPr>
      <w:r>
        <w:rPr>
          <w:rFonts w:ascii="Arial" w:hAnsi="Arial"/>
          <w:i/>
          <w:sz w:val="21"/>
        </w:rPr>
        <w:t>Deeper Context, Scientific Intent, Automation Logic, and Webinar Explanation</w:t>
      </w:r>
    </w:p>
    <w:p>
      <w:pPr>
        <w:pStyle w:val="Heading1"/>
      </w:pPr>
      <w:r>
        <w:rPr>
          <w:rFonts w:ascii="Arial" w:hAnsi="Arial"/>
        </w:rPr>
        <w:t>1. Support Status on Protoly / NSL</w:t>
      </w:r>
    </w:p>
    <w:p>
      <w:pPr>
        <w:spacing w:after="100"/>
        <w:jc w:val="both"/>
      </w:pPr>
      <w:r>
        <w:rPr>
          <w:rFonts w:ascii="Arial" w:hAnsi="Arial"/>
          <w:sz w:val="20"/>
        </w:rPr>
        <w:t>This protocol is partially NSL-supported. The NSL platform can assist with physical workflow actions such as reservoir-based reagent dispensing, controlled stirring, timed waiting or incubation, optional mild heating, UV sterilization, chamber illumination, camera-based visual documentation, exhaust operation, sonication where suitable, sonicator bath heating where suitable, and environment-condition recording.</w:t>
      </w:r>
    </w:p>
    <w:p>
      <w:pPr>
        <w:spacing w:after="100"/>
        <w:jc w:val="both"/>
      </w:pPr>
      <w:r>
        <w:rPr>
          <w:rFonts w:ascii="Arial" w:hAnsi="Arial"/>
          <w:sz w:val="20"/>
        </w:rPr>
        <w:t>The protocol should not be described as a fully automated immunoassay or validated diagnostic method. Confirmation of antigen-antibody binding, specificity, assay signal, washing efficiency, particle size, zeta potential, protein attachment, sterility, and biological performance requires offline or external methods.</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NSL-Supported Area</w:t>
            </w:r>
          </w:p>
        </w:tc>
        <w:tc>
          <w:tcPr>
            <w:tcW w:type="dxa" w:w="5083"/>
            <w:vAlign w:val="center"/>
            <w:shd w:fill="D9EAF7"/>
          </w:tcPr>
          <w:p>
            <w:r/>
            <w:r>
              <w:rPr>
                <w:rFonts w:ascii="Arial" w:hAnsi="Arial"/>
                <w:b/>
                <w:sz w:val="17"/>
              </w:rPr>
              <w:t>Role in This Protocol</w:t>
            </w:r>
          </w:p>
        </w:tc>
      </w:tr>
      <w:tr>
        <w:tc>
          <w:tcPr>
            <w:tcW w:type="dxa" w:w="5083"/>
            <w:vAlign w:val="center"/>
          </w:tcPr>
          <w:p>
            <w:r/>
            <w:r>
              <w:rPr>
                <w:rFonts w:ascii="Arial" w:hAnsi="Arial"/>
                <w:b w:val="0"/>
                <w:sz w:val="17"/>
              </w:rPr>
              <w:t>Reservoir Dispense</w:t>
            </w:r>
          </w:p>
        </w:tc>
        <w:tc>
          <w:tcPr>
            <w:tcW w:type="dxa" w:w="5083"/>
            <w:vAlign w:val="center"/>
          </w:tcPr>
          <w:p>
            <w:r/>
            <w:r>
              <w:rPr>
                <w:rFonts w:ascii="Arial" w:hAnsi="Arial"/>
                <w:b w:val="0"/>
                <w:sz w:val="17"/>
              </w:rPr>
              <w:t>Addition of nanoparticle dispersion, antibody, antigen, buffer, blocker, stabilizer, and washing medium</w:t>
            </w:r>
          </w:p>
        </w:tc>
      </w:tr>
      <w:tr>
        <w:tc>
          <w:tcPr>
            <w:tcW w:type="dxa" w:w="5083"/>
            <w:vAlign w:val="center"/>
          </w:tcPr>
          <w:p>
            <w:r/>
            <w:r>
              <w:rPr>
                <w:rFonts w:ascii="Arial" w:hAnsi="Arial"/>
                <w:b w:val="0"/>
                <w:sz w:val="17"/>
              </w:rPr>
              <w:t>Stirrer</w:t>
            </w:r>
          </w:p>
        </w:tc>
        <w:tc>
          <w:tcPr>
            <w:tcW w:type="dxa" w:w="5083"/>
            <w:vAlign w:val="center"/>
          </w:tcPr>
          <w:p>
            <w:r/>
            <w:r>
              <w:rPr>
                <w:rFonts w:ascii="Arial" w:hAnsi="Arial"/>
                <w:b w:val="0"/>
                <w:sz w:val="17"/>
              </w:rPr>
              <w:t>Gentle mixing during nanoparticle conditioning, antibody association, blocking, and antigen exposure</w:t>
            </w:r>
          </w:p>
        </w:tc>
      </w:tr>
      <w:tr>
        <w:tc>
          <w:tcPr>
            <w:tcW w:type="dxa" w:w="5083"/>
            <w:vAlign w:val="center"/>
          </w:tcPr>
          <w:p>
            <w:r/>
            <w:r>
              <w:rPr>
                <w:rFonts w:ascii="Arial" w:hAnsi="Arial"/>
                <w:b w:val="0"/>
                <w:sz w:val="17"/>
              </w:rPr>
              <w:t>Wait</w:t>
            </w:r>
          </w:p>
        </w:tc>
        <w:tc>
          <w:tcPr>
            <w:tcW w:type="dxa" w:w="5083"/>
            <w:vAlign w:val="center"/>
          </w:tcPr>
          <w:p>
            <w:r/>
            <w:r>
              <w:rPr>
                <w:rFonts w:ascii="Arial" w:hAnsi="Arial"/>
                <w:b w:val="0"/>
                <w:sz w:val="17"/>
              </w:rPr>
              <w:t>Defined incubation periods for complex formation and stabilization</w:t>
            </w:r>
          </w:p>
        </w:tc>
      </w:tr>
      <w:tr>
        <w:tc>
          <w:tcPr>
            <w:tcW w:type="dxa" w:w="5083"/>
            <w:vAlign w:val="center"/>
          </w:tcPr>
          <w:p>
            <w:r/>
            <w:r>
              <w:rPr>
                <w:rFonts w:ascii="Arial" w:hAnsi="Arial"/>
                <w:b w:val="0"/>
                <w:sz w:val="17"/>
              </w:rPr>
              <w:t>Heater</w:t>
            </w:r>
          </w:p>
        </w:tc>
        <w:tc>
          <w:tcPr>
            <w:tcW w:type="dxa" w:w="5083"/>
            <w:vAlign w:val="center"/>
          </w:tcPr>
          <w:p>
            <w:r/>
            <w:r>
              <w:rPr>
                <w:rFonts w:ascii="Arial" w:hAnsi="Arial"/>
                <w:b w:val="0"/>
                <w:sz w:val="17"/>
              </w:rPr>
              <w:t>Optional mild thermal support only when compatible with antibody and antigen stability</w:t>
            </w:r>
          </w:p>
        </w:tc>
      </w:tr>
      <w:tr>
        <w:tc>
          <w:tcPr>
            <w:tcW w:type="dxa" w:w="5083"/>
            <w:vAlign w:val="center"/>
          </w:tcPr>
          <w:p>
            <w:r/>
            <w:r>
              <w:rPr>
                <w:rFonts w:ascii="Arial" w:hAnsi="Arial"/>
                <w:b w:val="0"/>
                <w:sz w:val="17"/>
              </w:rPr>
              <w:t>Sonicator</w:t>
            </w:r>
          </w:p>
        </w:tc>
        <w:tc>
          <w:tcPr>
            <w:tcW w:type="dxa" w:w="5083"/>
            <w:vAlign w:val="center"/>
          </w:tcPr>
          <w:p>
            <w:r/>
            <w:r>
              <w:rPr>
                <w:rFonts w:ascii="Arial" w:hAnsi="Arial"/>
                <w:b w:val="0"/>
                <w:sz w:val="17"/>
              </w:rPr>
              <w:t>Optional mild dispersion support before biomolecule addition, not aggressive processing after binding</w:t>
            </w:r>
          </w:p>
        </w:tc>
      </w:tr>
      <w:tr>
        <w:tc>
          <w:tcPr>
            <w:tcW w:type="dxa" w:w="5083"/>
            <w:vAlign w:val="center"/>
          </w:tcPr>
          <w:p>
            <w:r/>
            <w:r>
              <w:rPr>
                <w:rFonts w:ascii="Arial" w:hAnsi="Arial"/>
                <w:b w:val="0"/>
                <w:sz w:val="17"/>
              </w:rPr>
              <w:t>LED Illumination and Camera</w:t>
            </w:r>
          </w:p>
        </w:tc>
        <w:tc>
          <w:tcPr>
            <w:tcW w:type="dxa" w:w="5083"/>
            <w:vAlign w:val="center"/>
          </w:tcPr>
          <w:p>
            <w:r/>
            <w:r>
              <w:rPr>
                <w:rFonts w:ascii="Arial" w:hAnsi="Arial"/>
                <w:b w:val="0"/>
                <w:sz w:val="17"/>
              </w:rPr>
              <w:t>Visual documentation of colour change, aggregation, sedimentation, and dispersion quality</w:t>
            </w:r>
          </w:p>
        </w:tc>
      </w:tr>
      <w:tr>
        <w:tc>
          <w:tcPr>
            <w:tcW w:type="dxa" w:w="5083"/>
            <w:vAlign w:val="center"/>
          </w:tcPr>
          <w:p>
            <w:r/>
            <w:r>
              <w:rPr>
                <w:rFonts w:ascii="Arial" w:hAnsi="Arial"/>
                <w:b w:val="0"/>
                <w:sz w:val="17"/>
              </w:rPr>
              <w:t>Sterilization UV</w:t>
            </w:r>
          </w:p>
        </w:tc>
        <w:tc>
          <w:tcPr>
            <w:tcW w:type="dxa" w:w="5083"/>
            <w:vAlign w:val="center"/>
          </w:tcPr>
          <w:p>
            <w:r/>
            <w:r>
              <w:rPr>
                <w:rFonts w:ascii="Arial" w:hAnsi="Arial"/>
                <w:b w:val="0"/>
                <w:sz w:val="17"/>
              </w:rPr>
              <w:t>Pre-process chamber preparation; not a replacement for sterility validation</w:t>
            </w:r>
          </w:p>
        </w:tc>
      </w:tr>
      <w:tr>
        <w:tc>
          <w:tcPr>
            <w:tcW w:type="dxa" w:w="5083"/>
            <w:vAlign w:val="center"/>
          </w:tcPr>
          <w:p>
            <w:r/>
            <w:r>
              <w:rPr>
                <w:rFonts w:ascii="Arial" w:hAnsi="Arial"/>
                <w:b w:val="0"/>
                <w:sz w:val="17"/>
              </w:rPr>
              <w:t>Environment Sensors and Exhaust</w:t>
            </w:r>
          </w:p>
        </w:tc>
        <w:tc>
          <w:tcPr>
            <w:tcW w:type="dxa" w:w="5083"/>
            <w:vAlign w:val="center"/>
          </w:tcPr>
          <w:p>
            <w:r/>
            <w:r>
              <w:rPr>
                <w:rFonts w:ascii="Arial" w:hAnsi="Arial"/>
                <w:b w:val="0"/>
                <w:sz w:val="17"/>
              </w:rPr>
              <w:t>Ambient chamber record and airflow support during workflow execution</w:t>
            </w:r>
          </w:p>
        </w:tc>
      </w:tr>
    </w:tbl>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Offline / External Step</w:t>
            </w:r>
          </w:p>
        </w:tc>
        <w:tc>
          <w:tcPr>
            <w:tcW w:type="dxa" w:w="5083"/>
            <w:vAlign w:val="center"/>
            <w:shd w:fill="D9EAF7"/>
          </w:tcPr>
          <w:p>
            <w:r/>
            <w:r>
              <w:rPr>
                <w:rFonts w:ascii="Arial" w:hAnsi="Arial"/>
                <w:b/>
                <w:sz w:val="17"/>
              </w:rPr>
              <w:t>Purpose</w:t>
            </w:r>
          </w:p>
        </w:tc>
      </w:tr>
      <w:tr>
        <w:tc>
          <w:tcPr>
            <w:tcW w:type="dxa" w:w="5083"/>
            <w:vAlign w:val="center"/>
          </w:tcPr>
          <w:p>
            <w:r/>
            <w:r>
              <w:rPr>
                <w:rFonts w:ascii="Arial" w:hAnsi="Arial"/>
                <w:b w:val="0"/>
                <w:sz w:val="17"/>
              </w:rPr>
              <w:t>Centrifugation, filtration, or magnetic separation</w:t>
            </w:r>
          </w:p>
        </w:tc>
        <w:tc>
          <w:tcPr>
            <w:tcW w:type="dxa" w:w="5083"/>
            <w:vAlign w:val="center"/>
          </w:tcPr>
          <w:p>
            <w:r/>
            <w:r>
              <w:rPr>
                <w:rFonts w:ascii="Arial" w:hAnsi="Arial"/>
                <w:b w:val="0"/>
                <w:sz w:val="17"/>
              </w:rPr>
              <w:t>Removal of unbound antibody, antigen, blocker, or excess linker</w:t>
            </w:r>
          </w:p>
        </w:tc>
      </w:tr>
      <w:tr>
        <w:tc>
          <w:tcPr>
            <w:tcW w:type="dxa" w:w="5083"/>
            <w:vAlign w:val="center"/>
          </w:tcPr>
          <w:p>
            <w:r/>
            <w:r>
              <w:rPr>
                <w:rFonts w:ascii="Arial" w:hAnsi="Arial"/>
                <w:b w:val="0"/>
                <w:sz w:val="17"/>
              </w:rPr>
              <w:t>UV-Vis, DLS, zeta potential, fluorescence, or protein assay</w:t>
            </w:r>
          </w:p>
        </w:tc>
        <w:tc>
          <w:tcPr>
            <w:tcW w:type="dxa" w:w="5083"/>
            <w:vAlign w:val="center"/>
          </w:tcPr>
          <w:p>
            <w:r/>
            <w:r>
              <w:rPr>
                <w:rFonts w:ascii="Arial" w:hAnsi="Arial"/>
                <w:b w:val="0"/>
                <w:sz w:val="17"/>
              </w:rPr>
              <w:t>Characterization of conjugation, size, charge, and protein association</w:t>
            </w:r>
          </w:p>
        </w:tc>
      </w:tr>
      <w:tr>
        <w:tc>
          <w:tcPr>
            <w:tcW w:type="dxa" w:w="5083"/>
            <w:vAlign w:val="center"/>
          </w:tcPr>
          <w:p>
            <w:r/>
            <w:r>
              <w:rPr>
                <w:rFonts w:ascii="Arial" w:hAnsi="Arial"/>
                <w:b w:val="0"/>
                <w:sz w:val="17"/>
              </w:rPr>
              <w:t>ELISA / lateral-flow / dot-blot / plate assay format</w:t>
            </w:r>
          </w:p>
        </w:tc>
        <w:tc>
          <w:tcPr>
            <w:tcW w:type="dxa" w:w="5083"/>
            <w:vAlign w:val="center"/>
          </w:tcPr>
          <w:p>
            <w:r/>
            <w:r>
              <w:rPr>
                <w:rFonts w:ascii="Arial" w:hAnsi="Arial"/>
                <w:b w:val="0"/>
                <w:sz w:val="17"/>
              </w:rPr>
              <w:t>Functional antigen-recognition validation</w:t>
            </w:r>
          </w:p>
        </w:tc>
      </w:tr>
      <w:tr>
        <w:tc>
          <w:tcPr>
            <w:tcW w:type="dxa" w:w="5083"/>
            <w:vAlign w:val="center"/>
          </w:tcPr>
          <w:p>
            <w:r/>
            <w:r>
              <w:rPr>
                <w:rFonts w:ascii="Arial" w:hAnsi="Arial"/>
                <w:b w:val="0"/>
                <w:sz w:val="17"/>
              </w:rPr>
              <w:t>Microscopy or electron microscopy</w:t>
            </w:r>
          </w:p>
        </w:tc>
        <w:tc>
          <w:tcPr>
            <w:tcW w:type="dxa" w:w="5083"/>
            <w:vAlign w:val="center"/>
          </w:tcPr>
          <w:p>
            <w:r/>
            <w:r>
              <w:rPr>
                <w:rFonts w:ascii="Arial" w:hAnsi="Arial"/>
                <w:b w:val="0"/>
                <w:sz w:val="17"/>
              </w:rPr>
              <w:t>Morphology, aggregation, and complex-state observation</w:t>
            </w:r>
          </w:p>
        </w:tc>
      </w:tr>
      <w:tr>
        <w:tc>
          <w:tcPr>
            <w:tcW w:type="dxa" w:w="5083"/>
            <w:vAlign w:val="center"/>
          </w:tcPr>
          <w:p>
            <w:r/>
            <w:r>
              <w:rPr>
                <w:rFonts w:ascii="Arial" w:hAnsi="Arial"/>
                <w:b w:val="0"/>
                <w:sz w:val="17"/>
              </w:rPr>
              <w:t>Specificity and cross-reactivity study</w:t>
            </w:r>
          </w:p>
        </w:tc>
        <w:tc>
          <w:tcPr>
            <w:tcW w:type="dxa" w:w="5083"/>
            <w:vAlign w:val="center"/>
          </w:tcPr>
          <w:p>
            <w:r/>
            <w:r>
              <w:rPr>
                <w:rFonts w:ascii="Arial" w:hAnsi="Arial"/>
                <w:b w:val="0"/>
                <w:sz w:val="17"/>
              </w:rPr>
              <w:t>Determines whether the complex recognizes target antigen selectively</w:t>
            </w:r>
          </w:p>
        </w:tc>
      </w:tr>
      <w:tr>
        <w:tc>
          <w:tcPr>
            <w:tcW w:type="dxa" w:w="5083"/>
            <w:vAlign w:val="center"/>
          </w:tcPr>
          <w:p>
            <w:r/>
            <w:r>
              <w:rPr>
                <w:rFonts w:ascii="Arial" w:hAnsi="Arial"/>
                <w:b w:val="0"/>
                <w:sz w:val="17"/>
              </w:rPr>
              <w:t>Sterility, biosafety, and regulatory testing</w:t>
            </w:r>
          </w:p>
        </w:tc>
        <w:tc>
          <w:tcPr>
            <w:tcW w:type="dxa" w:w="5083"/>
            <w:vAlign w:val="center"/>
          </w:tcPr>
          <w:p>
            <w:r/>
            <w:r>
              <w:rPr>
                <w:rFonts w:ascii="Arial" w:hAnsi="Arial"/>
                <w:b w:val="0"/>
                <w:sz w:val="17"/>
              </w:rPr>
              <w:t>Required for advanced biological, clinical, or commercial use</w:t>
            </w:r>
          </w:p>
        </w:tc>
      </w:tr>
    </w:tbl>
    <w:p/>
    <w:p>
      <w:pPr>
        <w:pStyle w:val="Heading1"/>
      </w:pPr>
      <w:r>
        <w:rPr>
          <w:rFonts w:ascii="Arial" w:hAnsi="Arial"/>
        </w:rPr>
        <w:t>2. Purpose of This Supporting Information</w:t>
      </w:r>
    </w:p>
    <w:p>
      <w:pPr>
        <w:spacing w:after="100"/>
        <w:jc w:val="both"/>
      </w:pPr>
      <w:r>
        <w:rPr>
          <w:rFonts w:ascii="Arial" w:hAnsi="Arial"/>
          <w:sz w:val="20"/>
        </w:rPr>
        <w:t>The main Protoly protocol contains the fillable operational sections required for the protocol page. This supporting document explains the deeper scientific and project-level intent behind the antigen-antibody nanomaterial complex workflow. It is intended to help readers understand why the protocol was selected, which scientific concepts it demonstrates, how automation supports the preparation stage, and what must be validated separately.</w:t>
      </w:r>
    </w:p>
    <w:p>
      <w:pPr>
        <w:spacing w:after="100"/>
        <w:jc w:val="both"/>
      </w:pPr>
      <w:r>
        <w:rPr>
          <w:rFonts w:ascii="Arial" w:hAnsi="Arial"/>
          <w:sz w:val="20"/>
        </w:rPr>
        <w:t>For webinar use, this document also helps explain the difference between preparation of a nanomaterial-biological complex and validation of a working diagnostic assay. The NSL-supported workflow can organize and repeat the preparation steps, while performance testing remains a separate downstream activity.</w:t>
      </w:r>
    </w:p>
    <w:p>
      <w:pPr>
        <w:pStyle w:val="Heading1"/>
      </w:pPr>
      <w:r>
        <w:rPr>
          <w:rFonts w:ascii="Arial" w:hAnsi="Arial"/>
        </w:rPr>
        <w:t>3. Overall Concept of the Protocol</w:t>
      </w:r>
    </w:p>
    <w:p>
      <w:pPr>
        <w:spacing w:after="100"/>
        <w:jc w:val="both"/>
      </w:pPr>
      <w:r>
        <w:rPr>
          <w:rFonts w:ascii="Arial" w:hAnsi="Arial"/>
          <w:sz w:val="20"/>
        </w:rPr>
        <w:t>The protocol demonstrates the assembly of a model nano-bio complex in which a functionalized gold or silver nanoparticle acts as a material support, an antibody provides biological recognition capability, and an antigen provides the target-binding component. When these components are combined under controlled conditions, they can form an antigen-antibody nanomaterial complex suitable for downstream immunoassay development or nano-biointerface study.</w:t>
      </w:r>
    </w:p>
    <w:p>
      <w:pPr>
        <w:spacing w:after="100"/>
        <w:jc w:val="both"/>
      </w:pPr>
      <w:r>
        <w:rPr>
          <w:rFonts w:ascii="Arial" w:hAnsi="Arial"/>
          <w:sz w:val="20"/>
        </w:rPr>
        <w:t>The purpose is not to claim that a complete diagnostic product is generated. Instead, the protocol shows how the early wet-lab assembly stage can be organized through Protoly and partially executed with NSL-supported hardware actions such as dispensing, mixing, incubation, illumination, and documentation.</w:t>
      </w:r>
    </w:p>
    <w:p>
      <w:pPr>
        <w:pStyle w:val="Heading1"/>
      </w:pPr>
      <w:r>
        <w:rPr>
          <w:rFonts w:ascii="Arial" w:hAnsi="Arial"/>
        </w:rPr>
        <w:t>4. Why This Protocol Was Selected</w:t>
      </w:r>
    </w:p>
    <w:p>
      <w:pPr>
        <w:spacing w:after="100"/>
        <w:jc w:val="both"/>
      </w:pPr>
      <w:r>
        <w:rPr>
          <w:rFonts w:ascii="Arial" w:hAnsi="Arial"/>
          <w:sz w:val="20"/>
        </w:rPr>
        <w:t>This protocol is important for the Protoly library because it connects nanomaterials with biological recognition. Earlier protocols may focus on nanoparticle synthesis, formulation, or conjugation. This protocol moves one step further by showing how a functional nanomaterial may participate in an antigen-antibody recognition model.</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Reason for Selection</w:t>
            </w:r>
          </w:p>
        </w:tc>
        <w:tc>
          <w:tcPr>
            <w:tcW w:type="dxa" w:w="5083"/>
            <w:vAlign w:val="center"/>
            <w:shd w:fill="D9EAF7"/>
          </w:tcPr>
          <w:p>
            <w:r/>
            <w:r>
              <w:rPr>
                <w:rFonts w:ascii="Arial" w:hAnsi="Arial"/>
                <w:b/>
                <w:sz w:val="17"/>
              </w:rPr>
              <w:t>Relevance</w:t>
            </w:r>
          </w:p>
        </w:tc>
      </w:tr>
      <w:tr>
        <w:tc>
          <w:tcPr>
            <w:tcW w:type="dxa" w:w="5083"/>
            <w:vAlign w:val="center"/>
          </w:tcPr>
          <w:p>
            <w:r/>
            <w:r>
              <w:rPr>
                <w:rFonts w:ascii="Arial" w:hAnsi="Arial"/>
                <w:b w:val="0"/>
                <w:sz w:val="17"/>
              </w:rPr>
              <w:t>Connects nanotechnology and immunology</w:t>
            </w:r>
          </w:p>
        </w:tc>
        <w:tc>
          <w:tcPr>
            <w:tcW w:type="dxa" w:w="5083"/>
            <w:vAlign w:val="center"/>
          </w:tcPr>
          <w:p>
            <w:r/>
            <w:r>
              <w:rPr>
                <w:rFonts w:ascii="Arial" w:hAnsi="Arial"/>
                <w:b w:val="0"/>
                <w:sz w:val="17"/>
              </w:rPr>
              <w:t>Shows how nanoparticles can support biomolecular recognition workflows</w:t>
            </w:r>
          </w:p>
        </w:tc>
      </w:tr>
      <w:tr>
        <w:tc>
          <w:tcPr>
            <w:tcW w:type="dxa" w:w="5083"/>
            <w:vAlign w:val="center"/>
          </w:tcPr>
          <w:p>
            <w:r/>
            <w:r>
              <w:rPr>
                <w:rFonts w:ascii="Arial" w:hAnsi="Arial"/>
                <w:b w:val="0"/>
                <w:sz w:val="17"/>
              </w:rPr>
              <w:t>Useful for biosensor and immunoassay teaching</w:t>
            </w:r>
          </w:p>
        </w:tc>
        <w:tc>
          <w:tcPr>
            <w:tcW w:type="dxa" w:w="5083"/>
            <w:vAlign w:val="center"/>
          </w:tcPr>
          <w:p>
            <w:r/>
            <w:r>
              <w:rPr>
                <w:rFonts w:ascii="Arial" w:hAnsi="Arial"/>
                <w:b w:val="0"/>
                <w:sz w:val="17"/>
              </w:rPr>
              <w:t>Explains antigen-antibody binding using a material-supported format</w:t>
            </w:r>
          </w:p>
        </w:tc>
      </w:tr>
      <w:tr>
        <w:tc>
          <w:tcPr>
            <w:tcW w:type="dxa" w:w="5083"/>
            <w:vAlign w:val="center"/>
          </w:tcPr>
          <w:p>
            <w:r/>
            <w:r>
              <w:rPr>
                <w:rFonts w:ascii="Arial" w:hAnsi="Arial"/>
                <w:b w:val="0"/>
                <w:sz w:val="17"/>
              </w:rPr>
              <w:t>Suitable for automation-assisted preparation</w:t>
            </w:r>
          </w:p>
        </w:tc>
        <w:tc>
          <w:tcPr>
            <w:tcW w:type="dxa" w:w="5083"/>
            <w:vAlign w:val="center"/>
          </w:tcPr>
          <w:p>
            <w:r/>
            <w:r>
              <w:rPr>
                <w:rFonts w:ascii="Arial" w:hAnsi="Arial"/>
                <w:b w:val="0"/>
                <w:sz w:val="17"/>
              </w:rPr>
              <w:t>Many steps involve controlled dispensing, gentle mixing, and timed incubation</w:t>
            </w:r>
          </w:p>
        </w:tc>
      </w:tr>
      <w:tr>
        <w:tc>
          <w:tcPr>
            <w:tcW w:type="dxa" w:w="5083"/>
            <w:vAlign w:val="center"/>
          </w:tcPr>
          <w:p>
            <w:r/>
            <w:r>
              <w:rPr>
                <w:rFonts w:ascii="Arial" w:hAnsi="Arial"/>
                <w:b w:val="0"/>
                <w:sz w:val="17"/>
              </w:rPr>
              <w:t>Visually demonstrable</w:t>
            </w:r>
          </w:p>
        </w:tc>
        <w:tc>
          <w:tcPr>
            <w:tcW w:type="dxa" w:w="5083"/>
            <w:vAlign w:val="center"/>
          </w:tcPr>
          <w:p>
            <w:r/>
            <w:r>
              <w:rPr>
                <w:rFonts w:ascii="Arial" w:hAnsi="Arial"/>
                <w:b w:val="0"/>
                <w:sz w:val="17"/>
              </w:rPr>
              <w:t>Gold or silver nanoparticle systems may show colour or aggregation changes</w:t>
            </w:r>
          </w:p>
        </w:tc>
      </w:tr>
      <w:tr>
        <w:tc>
          <w:tcPr>
            <w:tcW w:type="dxa" w:w="5083"/>
            <w:vAlign w:val="center"/>
          </w:tcPr>
          <w:p>
            <w:r/>
            <w:r>
              <w:rPr>
                <w:rFonts w:ascii="Arial" w:hAnsi="Arial"/>
                <w:b w:val="0"/>
                <w:sz w:val="17"/>
              </w:rPr>
              <w:t>Extensible to different assay formats</w:t>
            </w:r>
          </w:p>
        </w:tc>
        <w:tc>
          <w:tcPr>
            <w:tcW w:type="dxa" w:w="5083"/>
            <w:vAlign w:val="center"/>
          </w:tcPr>
          <w:p>
            <w:r/>
            <w:r>
              <w:rPr>
                <w:rFonts w:ascii="Arial" w:hAnsi="Arial"/>
                <w:b w:val="0"/>
                <w:sz w:val="17"/>
              </w:rPr>
              <w:t>Can support ELISA-like, lateral-flow, SERS, colorimetric, or fluorescence-based studies</w:t>
            </w:r>
          </w:p>
        </w:tc>
      </w:tr>
      <w:tr>
        <w:tc>
          <w:tcPr>
            <w:tcW w:type="dxa" w:w="5083"/>
            <w:vAlign w:val="center"/>
          </w:tcPr>
          <w:p>
            <w:r/>
            <w:r>
              <w:rPr>
                <w:rFonts w:ascii="Arial" w:hAnsi="Arial"/>
                <w:b w:val="0"/>
                <w:sz w:val="17"/>
              </w:rPr>
              <w:t>Clear downstream validation requirement</w:t>
            </w:r>
          </w:p>
        </w:tc>
        <w:tc>
          <w:tcPr>
            <w:tcW w:type="dxa" w:w="5083"/>
            <w:vAlign w:val="center"/>
          </w:tcPr>
          <w:p>
            <w:r/>
            <w:r>
              <w:rPr>
                <w:rFonts w:ascii="Arial" w:hAnsi="Arial"/>
                <w:b w:val="0"/>
                <w:sz w:val="17"/>
              </w:rPr>
              <w:t>Helps teach the difference between preparation and assay validation</w:t>
            </w:r>
          </w:p>
        </w:tc>
      </w:tr>
    </w:tbl>
    <w:p/>
    <w:p>
      <w:pPr>
        <w:pStyle w:val="Heading1"/>
      </w:pPr>
      <w:r>
        <w:rPr>
          <w:rFonts w:ascii="Arial" w:hAnsi="Arial"/>
        </w:rPr>
        <w:t>5. Scientific Background</w:t>
      </w:r>
    </w:p>
    <w:p>
      <w:pPr>
        <w:spacing w:after="100"/>
        <w:jc w:val="both"/>
      </w:pPr>
      <w:r>
        <w:rPr>
          <w:rFonts w:ascii="Arial" w:hAnsi="Arial"/>
          <w:sz w:val="20"/>
        </w:rPr>
        <w:t>Antigen-antibody binding is based on molecular recognition between an antibody binding site and a specific antigen epitope. In conventional immunoassays, this interaction is used to detect or quantify a target biomolecule. When nanoparticles are included in the system, they may serve as labels, carriers, signal enhancers, immobilization supports, or visible colour-changing materials depending on the assay design.</w:t>
      </w:r>
    </w:p>
    <w:p>
      <w:pPr>
        <w:spacing w:after="100"/>
        <w:jc w:val="both"/>
      </w:pPr>
      <w:r>
        <w:rPr>
          <w:rFonts w:ascii="Arial" w:hAnsi="Arial"/>
          <w:sz w:val="20"/>
        </w:rPr>
        <w:t>Gold and silver nanoparticles are especially attractive because their surface can interact with biomolecules and their optical behaviour can change when particles aggregate, disperse, or become functionalized. Surface functionalization, blocking strategy, buffer composition, and gentle handling are all important because proteins are sensitive to pH, salt concentration, temperature, and mechanical stress.</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Component</w:t>
            </w:r>
          </w:p>
        </w:tc>
        <w:tc>
          <w:tcPr>
            <w:tcW w:type="dxa" w:w="5083"/>
            <w:vAlign w:val="center"/>
            <w:shd w:fill="D9EAF7"/>
          </w:tcPr>
          <w:p>
            <w:r/>
            <w:r>
              <w:rPr>
                <w:rFonts w:ascii="Arial" w:hAnsi="Arial"/>
                <w:b/>
                <w:sz w:val="17"/>
              </w:rPr>
              <w:t>Role in the Complex</w:t>
            </w:r>
          </w:p>
        </w:tc>
      </w:tr>
      <w:tr>
        <w:tc>
          <w:tcPr>
            <w:tcW w:type="dxa" w:w="5083"/>
            <w:vAlign w:val="center"/>
          </w:tcPr>
          <w:p>
            <w:r/>
            <w:r>
              <w:rPr>
                <w:rFonts w:ascii="Arial" w:hAnsi="Arial"/>
                <w:b w:val="0"/>
                <w:sz w:val="17"/>
              </w:rPr>
              <w:t>Functionalized gold or silver nanoparticle</w:t>
            </w:r>
          </w:p>
        </w:tc>
        <w:tc>
          <w:tcPr>
            <w:tcW w:type="dxa" w:w="5083"/>
            <w:vAlign w:val="center"/>
          </w:tcPr>
          <w:p>
            <w:r/>
            <w:r>
              <w:rPr>
                <w:rFonts w:ascii="Arial" w:hAnsi="Arial"/>
                <w:b w:val="0"/>
                <w:sz w:val="17"/>
              </w:rPr>
              <w:t>Material support, signal-related component, or nanoscale assembly platform</w:t>
            </w:r>
          </w:p>
        </w:tc>
      </w:tr>
      <w:tr>
        <w:tc>
          <w:tcPr>
            <w:tcW w:type="dxa" w:w="5083"/>
            <w:vAlign w:val="center"/>
          </w:tcPr>
          <w:p>
            <w:r/>
            <w:r>
              <w:rPr>
                <w:rFonts w:ascii="Arial" w:hAnsi="Arial"/>
                <w:b w:val="0"/>
                <w:sz w:val="17"/>
              </w:rPr>
              <w:t>Antibody</w:t>
            </w:r>
          </w:p>
        </w:tc>
        <w:tc>
          <w:tcPr>
            <w:tcW w:type="dxa" w:w="5083"/>
            <w:vAlign w:val="center"/>
          </w:tcPr>
          <w:p>
            <w:r/>
            <w:r>
              <w:rPr>
                <w:rFonts w:ascii="Arial" w:hAnsi="Arial"/>
                <w:b w:val="0"/>
                <w:sz w:val="17"/>
              </w:rPr>
              <w:t>Provides target recognition by binding a specific antigen</w:t>
            </w:r>
          </w:p>
        </w:tc>
      </w:tr>
      <w:tr>
        <w:tc>
          <w:tcPr>
            <w:tcW w:type="dxa" w:w="5083"/>
            <w:vAlign w:val="center"/>
          </w:tcPr>
          <w:p>
            <w:r/>
            <w:r>
              <w:rPr>
                <w:rFonts w:ascii="Arial" w:hAnsi="Arial"/>
                <w:b w:val="0"/>
                <w:sz w:val="17"/>
              </w:rPr>
              <w:t>Antigen</w:t>
            </w:r>
          </w:p>
        </w:tc>
        <w:tc>
          <w:tcPr>
            <w:tcW w:type="dxa" w:w="5083"/>
            <w:vAlign w:val="center"/>
          </w:tcPr>
          <w:p>
            <w:r/>
            <w:r>
              <w:rPr>
                <w:rFonts w:ascii="Arial" w:hAnsi="Arial"/>
                <w:b w:val="0"/>
                <w:sz w:val="17"/>
              </w:rPr>
              <w:t>Target molecule that forms the recognition complex with the antibody</w:t>
            </w:r>
          </w:p>
        </w:tc>
      </w:tr>
      <w:tr>
        <w:tc>
          <w:tcPr>
            <w:tcW w:type="dxa" w:w="5083"/>
            <w:vAlign w:val="center"/>
          </w:tcPr>
          <w:p>
            <w:r/>
            <w:r>
              <w:rPr>
                <w:rFonts w:ascii="Arial" w:hAnsi="Arial"/>
                <w:b w:val="0"/>
                <w:sz w:val="17"/>
              </w:rPr>
              <w:t>Linker or surface conditioner</w:t>
            </w:r>
          </w:p>
        </w:tc>
        <w:tc>
          <w:tcPr>
            <w:tcW w:type="dxa" w:w="5083"/>
            <w:vAlign w:val="center"/>
          </w:tcPr>
          <w:p>
            <w:r/>
            <w:r>
              <w:rPr>
                <w:rFonts w:ascii="Arial" w:hAnsi="Arial"/>
                <w:b w:val="0"/>
                <w:sz w:val="17"/>
              </w:rPr>
              <w:t>Improves antibody attachment or nanoparticle surface compatibility</w:t>
            </w:r>
          </w:p>
        </w:tc>
      </w:tr>
      <w:tr>
        <w:tc>
          <w:tcPr>
            <w:tcW w:type="dxa" w:w="5083"/>
            <w:vAlign w:val="center"/>
          </w:tcPr>
          <w:p>
            <w:r/>
            <w:r>
              <w:rPr>
                <w:rFonts w:ascii="Arial" w:hAnsi="Arial"/>
                <w:b w:val="0"/>
                <w:sz w:val="17"/>
              </w:rPr>
              <w:t>Blocking agent</w:t>
            </w:r>
          </w:p>
        </w:tc>
        <w:tc>
          <w:tcPr>
            <w:tcW w:type="dxa" w:w="5083"/>
            <w:vAlign w:val="center"/>
          </w:tcPr>
          <w:p>
            <w:r/>
            <w:r>
              <w:rPr>
                <w:rFonts w:ascii="Arial" w:hAnsi="Arial"/>
                <w:b w:val="0"/>
                <w:sz w:val="17"/>
              </w:rPr>
              <w:t>Reduces non-specific binding and improves colloidal behaviour</w:t>
            </w:r>
          </w:p>
        </w:tc>
      </w:tr>
      <w:tr>
        <w:tc>
          <w:tcPr>
            <w:tcW w:type="dxa" w:w="5083"/>
            <w:vAlign w:val="center"/>
          </w:tcPr>
          <w:p>
            <w:r/>
            <w:r>
              <w:rPr>
                <w:rFonts w:ascii="Arial" w:hAnsi="Arial"/>
                <w:b w:val="0"/>
                <w:sz w:val="17"/>
              </w:rPr>
              <w:t>Buffer medium</w:t>
            </w:r>
          </w:p>
        </w:tc>
        <w:tc>
          <w:tcPr>
            <w:tcW w:type="dxa" w:w="5083"/>
            <w:vAlign w:val="center"/>
          </w:tcPr>
          <w:p>
            <w:r/>
            <w:r>
              <w:rPr>
                <w:rFonts w:ascii="Arial" w:hAnsi="Arial"/>
                <w:b w:val="0"/>
                <w:sz w:val="17"/>
              </w:rPr>
              <w:t>Maintains suitable reaction environment for biomolecule stability</w:t>
            </w:r>
          </w:p>
        </w:tc>
      </w:tr>
      <w:tr>
        <w:tc>
          <w:tcPr>
            <w:tcW w:type="dxa" w:w="5083"/>
            <w:vAlign w:val="center"/>
          </w:tcPr>
          <w:p>
            <w:r/>
            <w:r>
              <w:rPr>
                <w:rFonts w:ascii="Arial" w:hAnsi="Arial"/>
                <w:b w:val="0"/>
                <w:sz w:val="17"/>
              </w:rPr>
              <w:t>Stabilizer</w:t>
            </w:r>
          </w:p>
        </w:tc>
        <w:tc>
          <w:tcPr>
            <w:tcW w:type="dxa" w:w="5083"/>
            <w:vAlign w:val="center"/>
          </w:tcPr>
          <w:p>
            <w:r/>
            <w:r>
              <w:rPr>
                <w:rFonts w:ascii="Arial" w:hAnsi="Arial"/>
                <w:b w:val="0"/>
                <w:sz w:val="17"/>
              </w:rPr>
              <w:t>Supports dispersion stability and reduces aggregation</w:t>
            </w:r>
          </w:p>
        </w:tc>
      </w:tr>
    </w:tbl>
    <w:p/>
    <w:p>
      <w:pPr>
        <w:pStyle w:val="Heading1"/>
      </w:pPr>
      <w:r>
        <w:rPr>
          <w:rFonts w:ascii="Arial" w:hAnsi="Arial"/>
        </w:rPr>
        <w:t>6. Difference from Other Protoly Protocols</w:t>
      </w:r>
    </w:p>
    <w:p>
      <w:pPr>
        <w:spacing w:after="100"/>
        <w:jc w:val="both"/>
      </w:pPr>
      <w:r>
        <w:rPr>
          <w:rFonts w:ascii="Arial" w:hAnsi="Arial"/>
          <w:sz w:val="20"/>
        </w:rPr>
        <w:t>This protocol should remain distinct from the silver nanoparticle-antibody conjugate protocol and the SERS-ready antibody probe protocol. Here the main emphasis is the formation of a complete antigen-antibody nanomaterial complex. The key output is not only an antibody-coated nanoparticle, but a model complex formed after antigen exposure.</w:t>
      </w:r>
    </w:p>
    <w:tbl>
      <w:tblPr>
        <w:tblStyle w:val="TableGrid"/>
        <w:tblW w:type="auto" w:w="0"/>
        <w:jc w:val="center"/>
        <w:tblLook w:firstColumn="1" w:firstRow="1" w:lastColumn="0" w:lastRow="0" w:noHBand="0" w:noVBand="1" w:val="04A0"/>
      </w:tblPr>
      <w:tblGrid>
        <w:gridCol w:w="3389"/>
        <w:gridCol w:w="3389"/>
        <w:gridCol w:w="3389"/>
      </w:tblGrid>
      <w:tr>
        <w:tc>
          <w:tcPr>
            <w:tcW w:type="dxa" w:w="3389"/>
            <w:vAlign w:val="center"/>
            <w:shd w:fill="D9EAF7"/>
          </w:tcPr>
          <w:p>
            <w:r/>
            <w:r>
              <w:rPr>
                <w:rFonts w:ascii="Arial" w:hAnsi="Arial"/>
                <w:b/>
                <w:sz w:val="17"/>
              </w:rPr>
              <w:t>Protocol Type</w:t>
            </w:r>
          </w:p>
        </w:tc>
        <w:tc>
          <w:tcPr>
            <w:tcW w:type="dxa" w:w="3389"/>
            <w:vAlign w:val="center"/>
            <w:shd w:fill="D9EAF7"/>
          </w:tcPr>
          <w:p>
            <w:r/>
            <w:r>
              <w:rPr>
                <w:rFonts w:ascii="Arial" w:hAnsi="Arial"/>
                <w:b/>
                <w:sz w:val="17"/>
              </w:rPr>
              <w:t>Main Output</w:t>
            </w:r>
          </w:p>
        </w:tc>
        <w:tc>
          <w:tcPr>
            <w:tcW w:type="dxa" w:w="3389"/>
            <w:vAlign w:val="center"/>
            <w:shd w:fill="D9EAF7"/>
          </w:tcPr>
          <w:p>
            <w:r/>
            <w:r>
              <w:rPr>
                <w:rFonts w:ascii="Arial" w:hAnsi="Arial"/>
                <w:b/>
                <w:sz w:val="17"/>
              </w:rPr>
              <w:t>Main Focus</w:t>
            </w:r>
          </w:p>
        </w:tc>
      </w:tr>
      <w:tr>
        <w:tc>
          <w:tcPr>
            <w:tcW w:type="dxa" w:w="3389"/>
            <w:vAlign w:val="center"/>
          </w:tcPr>
          <w:p>
            <w:r/>
            <w:r>
              <w:rPr>
                <w:rFonts w:ascii="Arial" w:hAnsi="Arial"/>
                <w:b w:val="0"/>
                <w:sz w:val="17"/>
              </w:rPr>
              <w:t>Silver nanoparticle-antibody conjugate</w:t>
            </w:r>
          </w:p>
        </w:tc>
        <w:tc>
          <w:tcPr>
            <w:tcW w:type="dxa" w:w="3389"/>
            <w:vAlign w:val="center"/>
          </w:tcPr>
          <w:p>
            <w:r/>
            <w:r>
              <w:rPr>
                <w:rFonts w:ascii="Arial" w:hAnsi="Arial"/>
                <w:b w:val="0"/>
                <w:sz w:val="17"/>
              </w:rPr>
              <w:t>Antibody-functionalized nanoparticle</w:t>
            </w:r>
          </w:p>
        </w:tc>
        <w:tc>
          <w:tcPr>
            <w:tcW w:type="dxa" w:w="3389"/>
            <w:vAlign w:val="center"/>
          </w:tcPr>
          <w:p>
            <w:r/>
            <w:r>
              <w:rPr>
                <w:rFonts w:ascii="Arial" w:hAnsi="Arial"/>
                <w:b w:val="0"/>
                <w:sz w:val="17"/>
              </w:rPr>
              <w:t>Probe preparation</w:t>
            </w:r>
          </w:p>
        </w:tc>
      </w:tr>
      <w:tr>
        <w:tc>
          <w:tcPr>
            <w:tcW w:type="dxa" w:w="3389"/>
            <w:vAlign w:val="center"/>
          </w:tcPr>
          <w:p>
            <w:r/>
            <w:r>
              <w:rPr>
                <w:rFonts w:ascii="Arial" w:hAnsi="Arial"/>
                <w:b w:val="0"/>
                <w:sz w:val="17"/>
              </w:rPr>
              <w:t>SERS-ready nanoparticle-antibody probe</w:t>
            </w:r>
          </w:p>
        </w:tc>
        <w:tc>
          <w:tcPr>
            <w:tcW w:type="dxa" w:w="3389"/>
            <w:vAlign w:val="center"/>
          </w:tcPr>
          <w:p>
            <w:r/>
            <w:r>
              <w:rPr>
                <w:rFonts w:ascii="Arial" w:hAnsi="Arial"/>
                <w:b w:val="0"/>
                <w:sz w:val="17"/>
              </w:rPr>
              <w:t>SERS-active recognition probe</w:t>
            </w:r>
          </w:p>
        </w:tc>
        <w:tc>
          <w:tcPr>
            <w:tcW w:type="dxa" w:w="3389"/>
            <w:vAlign w:val="center"/>
          </w:tcPr>
          <w:p>
            <w:r/>
            <w:r>
              <w:rPr>
                <w:rFonts w:ascii="Arial" w:hAnsi="Arial"/>
                <w:b w:val="0"/>
                <w:sz w:val="17"/>
              </w:rPr>
              <w:t>Raman/spectral detection model</w:t>
            </w:r>
          </w:p>
        </w:tc>
      </w:tr>
      <w:tr>
        <w:tc>
          <w:tcPr>
            <w:tcW w:type="dxa" w:w="3389"/>
            <w:vAlign w:val="center"/>
          </w:tcPr>
          <w:p>
            <w:r/>
            <w:r>
              <w:rPr>
                <w:rFonts w:ascii="Arial" w:hAnsi="Arial"/>
                <w:b w:val="0"/>
                <w:sz w:val="17"/>
              </w:rPr>
              <w:t>Antigen-antibody nanomaterial complex</w:t>
            </w:r>
          </w:p>
        </w:tc>
        <w:tc>
          <w:tcPr>
            <w:tcW w:type="dxa" w:w="3389"/>
            <w:vAlign w:val="center"/>
          </w:tcPr>
          <w:p>
            <w:r/>
            <w:r>
              <w:rPr>
                <w:rFonts w:ascii="Arial" w:hAnsi="Arial"/>
                <w:b w:val="0"/>
                <w:sz w:val="17"/>
              </w:rPr>
              <w:t>Nanoparticle-antibody-antigen assembly</w:t>
            </w:r>
          </w:p>
        </w:tc>
        <w:tc>
          <w:tcPr>
            <w:tcW w:type="dxa" w:w="3389"/>
            <w:vAlign w:val="center"/>
          </w:tcPr>
          <w:p>
            <w:r/>
            <w:r>
              <w:rPr>
                <w:rFonts w:ascii="Arial" w:hAnsi="Arial"/>
                <w:b w:val="0"/>
                <w:sz w:val="17"/>
              </w:rPr>
              <w:t>Recognition complex formation and validation model</w:t>
            </w:r>
          </w:p>
        </w:tc>
      </w:tr>
      <w:tr>
        <w:tc>
          <w:tcPr>
            <w:tcW w:type="dxa" w:w="3389"/>
            <w:vAlign w:val="center"/>
          </w:tcPr>
          <w:p>
            <w:r/>
            <w:r>
              <w:rPr>
                <w:rFonts w:ascii="Arial" w:hAnsi="Arial"/>
                <w:b w:val="0"/>
                <w:sz w:val="17"/>
              </w:rPr>
              <w:t>Protein corona study</w:t>
            </w:r>
          </w:p>
        </w:tc>
        <w:tc>
          <w:tcPr>
            <w:tcW w:type="dxa" w:w="3389"/>
            <w:vAlign w:val="center"/>
          </w:tcPr>
          <w:p>
            <w:r/>
            <w:r>
              <w:rPr>
                <w:rFonts w:ascii="Arial" w:hAnsi="Arial"/>
                <w:b w:val="0"/>
                <w:sz w:val="17"/>
              </w:rPr>
              <w:t>Non-specific protein layer on nanoparticle</w:t>
            </w:r>
          </w:p>
        </w:tc>
        <w:tc>
          <w:tcPr>
            <w:tcW w:type="dxa" w:w="3389"/>
            <w:vAlign w:val="center"/>
          </w:tcPr>
          <w:p>
            <w:r/>
            <w:r>
              <w:rPr>
                <w:rFonts w:ascii="Arial" w:hAnsi="Arial"/>
                <w:b w:val="0"/>
                <w:sz w:val="17"/>
              </w:rPr>
              <w:t>Nano-biointerface behaviour</w:t>
            </w:r>
          </w:p>
        </w:tc>
      </w:tr>
      <w:tr>
        <w:tc>
          <w:tcPr>
            <w:tcW w:type="dxa" w:w="3389"/>
            <w:vAlign w:val="center"/>
          </w:tcPr>
          <w:p>
            <w:r/>
            <w:r>
              <w:rPr>
                <w:rFonts w:ascii="Arial" w:hAnsi="Arial"/>
                <w:b w:val="0"/>
                <w:sz w:val="17"/>
              </w:rPr>
              <w:t>Electrochemical glucose model</w:t>
            </w:r>
          </w:p>
        </w:tc>
        <w:tc>
          <w:tcPr>
            <w:tcW w:type="dxa" w:w="3389"/>
            <w:vAlign w:val="center"/>
          </w:tcPr>
          <w:p>
            <w:r/>
            <w:r>
              <w:rPr>
                <w:rFonts w:ascii="Arial" w:hAnsi="Arial"/>
                <w:b w:val="0"/>
                <w:sz w:val="17"/>
              </w:rPr>
              <w:t>Sensor response system</w:t>
            </w:r>
          </w:p>
        </w:tc>
        <w:tc>
          <w:tcPr>
            <w:tcW w:type="dxa" w:w="3389"/>
            <w:vAlign w:val="center"/>
          </w:tcPr>
          <w:p>
            <w:r/>
            <w:r>
              <w:rPr>
                <w:rFonts w:ascii="Arial" w:hAnsi="Arial"/>
                <w:b w:val="0"/>
                <w:sz w:val="17"/>
              </w:rPr>
              <w:t>Enzyme/electrode detection chemistry</w:t>
            </w:r>
          </w:p>
        </w:tc>
      </w:tr>
    </w:tbl>
    <w:p/>
    <w:p>
      <w:pPr>
        <w:pStyle w:val="Heading1"/>
      </w:pPr>
      <w:r>
        <w:rPr>
          <w:rFonts w:ascii="Arial" w:hAnsi="Arial"/>
        </w:rPr>
        <w:t>7. Automation Logic</w:t>
      </w:r>
    </w:p>
    <w:p>
      <w:pPr>
        <w:spacing w:after="100"/>
        <w:jc w:val="both"/>
      </w:pPr>
      <w:r>
        <w:rPr>
          <w:rFonts w:ascii="Arial" w:hAnsi="Arial"/>
          <w:sz w:val="20"/>
        </w:rPr>
        <w:t>The automation value in this workflow comes from controlling the preparation sequence. Antigen-antibody nanomaterial assembly can be affected by small differences in reagent order, incubation time, mixing speed, and concentration. Protoly allows the preparation sequence to be written as a structured digital method, while NSL can perform or support many of the physical steps.</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Manual Issue</w:t>
            </w:r>
          </w:p>
        </w:tc>
        <w:tc>
          <w:tcPr>
            <w:tcW w:type="dxa" w:w="5083"/>
            <w:vAlign w:val="center"/>
            <w:shd w:fill="D9EAF7"/>
          </w:tcPr>
          <w:p>
            <w:r/>
            <w:r>
              <w:rPr>
                <w:rFonts w:ascii="Arial" w:hAnsi="Arial"/>
                <w:b/>
                <w:sz w:val="17"/>
              </w:rPr>
              <w:t>Automation-Assisted Improvement</w:t>
            </w:r>
          </w:p>
        </w:tc>
      </w:tr>
      <w:tr>
        <w:tc>
          <w:tcPr>
            <w:tcW w:type="dxa" w:w="5083"/>
            <w:vAlign w:val="center"/>
          </w:tcPr>
          <w:p>
            <w:r/>
            <w:r>
              <w:rPr>
                <w:rFonts w:ascii="Arial" w:hAnsi="Arial"/>
                <w:b w:val="0"/>
                <w:sz w:val="17"/>
              </w:rPr>
              <w:t>Variable reagent addition sequence</w:t>
            </w:r>
          </w:p>
        </w:tc>
        <w:tc>
          <w:tcPr>
            <w:tcW w:type="dxa" w:w="5083"/>
            <w:vAlign w:val="center"/>
          </w:tcPr>
          <w:p>
            <w:r/>
            <w:r>
              <w:rPr>
                <w:rFonts w:ascii="Arial" w:hAnsi="Arial"/>
                <w:b w:val="0"/>
                <w:sz w:val="17"/>
              </w:rPr>
              <w:t>Reservoir dispensing creates a defined order of addition</w:t>
            </w:r>
          </w:p>
        </w:tc>
      </w:tr>
      <w:tr>
        <w:tc>
          <w:tcPr>
            <w:tcW w:type="dxa" w:w="5083"/>
            <w:vAlign w:val="center"/>
          </w:tcPr>
          <w:p>
            <w:r/>
            <w:r>
              <w:rPr>
                <w:rFonts w:ascii="Arial" w:hAnsi="Arial"/>
                <w:b w:val="0"/>
                <w:sz w:val="17"/>
              </w:rPr>
              <w:t>Inconsistent incubation timing</w:t>
            </w:r>
          </w:p>
        </w:tc>
        <w:tc>
          <w:tcPr>
            <w:tcW w:type="dxa" w:w="5083"/>
            <w:vAlign w:val="center"/>
          </w:tcPr>
          <w:p>
            <w:r/>
            <w:r>
              <w:rPr>
                <w:rFonts w:ascii="Arial" w:hAnsi="Arial"/>
                <w:b w:val="0"/>
                <w:sz w:val="17"/>
              </w:rPr>
              <w:t>Wait steps standardize antibody and antigen exposure periods</w:t>
            </w:r>
          </w:p>
        </w:tc>
      </w:tr>
      <w:tr>
        <w:tc>
          <w:tcPr>
            <w:tcW w:type="dxa" w:w="5083"/>
            <w:vAlign w:val="center"/>
          </w:tcPr>
          <w:p>
            <w:r/>
            <w:r>
              <w:rPr>
                <w:rFonts w:ascii="Arial" w:hAnsi="Arial"/>
                <w:b w:val="0"/>
                <w:sz w:val="17"/>
              </w:rPr>
              <w:t>Overmixing or rough handling</w:t>
            </w:r>
          </w:p>
        </w:tc>
        <w:tc>
          <w:tcPr>
            <w:tcW w:type="dxa" w:w="5083"/>
            <w:vAlign w:val="center"/>
          </w:tcPr>
          <w:p>
            <w:r/>
            <w:r>
              <w:rPr>
                <w:rFonts w:ascii="Arial" w:hAnsi="Arial"/>
                <w:b w:val="0"/>
                <w:sz w:val="17"/>
              </w:rPr>
              <w:t>Stirrer settings can be kept gentle and repeatable</w:t>
            </w:r>
          </w:p>
        </w:tc>
      </w:tr>
      <w:tr>
        <w:tc>
          <w:tcPr>
            <w:tcW w:type="dxa" w:w="5083"/>
            <w:vAlign w:val="center"/>
          </w:tcPr>
          <w:p>
            <w:r/>
            <w:r>
              <w:rPr>
                <w:rFonts w:ascii="Arial" w:hAnsi="Arial"/>
                <w:b w:val="0"/>
                <w:sz w:val="17"/>
              </w:rPr>
              <w:t>Poor batch documentation</w:t>
            </w:r>
          </w:p>
        </w:tc>
        <w:tc>
          <w:tcPr>
            <w:tcW w:type="dxa" w:w="5083"/>
            <w:vAlign w:val="center"/>
          </w:tcPr>
          <w:p>
            <w:r/>
            <w:r>
              <w:rPr>
                <w:rFonts w:ascii="Arial" w:hAnsi="Arial"/>
                <w:b w:val="0"/>
                <w:sz w:val="17"/>
              </w:rPr>
              <w:t>Protoly records the designed workflow and conditions</w:t>
            </w:r>
          </w:p>
        </w:tc>
      </w:tr>
      <w:tr>
        <w:tc>
          <w:tcPr>
            <w:tcW w:type="dxa" w:w="5083"/>
            <w:vAlign w:val="center"/>
          </w:tcPr>
          <w:p>
            <w:r/>
            <w:r>
              <w:rPr>
                <w:rFonts w:ascii="Arial" w:hAnsi="Arial"/>
                <w:b w:val="0"/>
                <w:sz w:val="17"/>
              </w:rPr>
              <w:t>Unclear visual changes</w:t>
            </w:r>
          </w:p>
        </w:tc>
        <w:tc>
          <w:tcPr>
            <w:tcW w:type="dxa" w:w="5083"/>
            <w:vAlign w:val="center"/>
          </w:tcPr>
          <w:p>
            <w:r/>
            <w:r>
              <w:rPr>
                <w:rFonts w:ascii="Arial" w:hAnsi="Arial"/>
                <w:b w:val="0"/>
                <w:sz w:val="17"/>
              </w:rPr>
              <w:t>Camera and LED illumination support batch observation</w:t>
            </w:r>
          </w:p>
        </w:tc>
      </w:tr>
      <w:tr>
        <w:tc>
          <w:tcPr>
            <w:tcW w:type="dxa" w:w="5083"/>
            <w:vAlign w:val="center"/>
          </w:tcPr>
          <w:p>
            <w:r/>
            <w:r>
              <w:rPr>
                <w:rFonts w:ascii="Arial" w:hAnsi="Arial"/>
                <w:b w:val="0"/>
                <w:sz w:val="17"/>
              </w:rPr>
              <w:t>Untracked chamber environment</w:t>
            </w:r>
          </w:p>
        </w:tc>
        <w:tc>
          <w:tcPr>
            <w:tcW w:type="dxa" w:w="5083"/>
            <w:vAlign w:val="center"/>
          </w:tcPr>
          <w:p>
            <w:r/>
            <w:r>
              <w:rPr>
                <w:rFonts w:ascii="Arial" w:hAnsi="Arial"/>
                <w:b w:val="0"/>
                <w:sz w:val="17"/>
              </w:rPr>
              <w:t>Environment sensors provide ambient context for comparison</w:t>
            </w:r>
          </w:p>
        </w:tc>
      </w:tr>
    </w:tbl>
    <w:p/>
    <w:p>
      <w:pPr>
        <w:pStyle w:val="Heading1"/>
      </w:pPr>
      <w:r>
        <w:rPr>
          <w:rFonts w:ascii="Arial" w:hAnsi="Arial"/>
        </w:rPr>
        <w:t>8. Suggested Workflow Interpretation</w:t>
      </w:r>
    </w:p>
    <w:p>
      <w:pPr>
        <w:spacing w:after="100"/>
        <w:jc w:val="both"/>
      </w:pPr>
      <w:r>
        <w:rPr>
          <w:rFonts w:ascii="Arial" w:hAnsi="Arial"/>
          <w:sz w:val="20"/>
        </w:rPr>
        <w:t>The protocol can be interpreted in three layers. The first layer is nanoparticle conditioning, where the functionalized nanoparticle dispersion is prepared for biomolecule interaction. The second layer is antibody association and blocking, where antibody is allowed to bind or adsorb to the nanoparticle surface and excess non-specific sites are reduced. The third layer is antigen exposure, where the target antigen is introduced to form the final antigen-antibody nanomaterial complex.</w:t>
      </w:r>
    </w:p>
    <w:tbl>
      <w:tblPr>
        <w:tblStyle w:val="TableGrid"/>
        <w:tblW w:type="auto" w:w="0"/>
        <w:jc w:val="center"/>
        <w:tblLook w:firstColumn="1" w:firstRow="1" w:lastColumn="0" w:lastRow="0" w:noHBand="0" w:noVBand="1" w:val="04A0"/>
      </w:tblPr>
      <w:tblGrid>
        <w:gridCol w:w="3389"/>
        <w:gridCol w:w="3389"/>
        <w:gridCol w:w="3389"/>
      </w:tblGrid>
      <w:tr>
        <w:tc>
          <w:tcPr>
            <w:tcW w:type="dxa" w:w="3389"/>
            <w:vAlign w:val="center"/>
            <w:shd w:fill="D9EAF7"/>
          </w:tcPr>
          <w:p>
            <w:r/>
            <w:r>
              <w:rPr>
                <w:rFonts w:ascii="Arial" w:hAnsi="Arial"/>
                <w:b/>
                <w:sz w:val="17"/>
              </w:rPr>
              <w:t>Workflow Layer</w:t>
            </w:r>
          </w:p>
        </w:tc>
        <w:tc>
          <w:tcPr>
            <w:tcW w:type="dxa" w:w="3389"/>
            <w:vAlign w:val="center"/>
            <w:shd w:fill="D9EAF7"/>
          </w:tcPr>
          <w:p>
            <w:r/>
            <w:r>
              <w:rPr>
                <w:rFonts w:ascii="Arial" w:hAnsi="Arial"/>
                <w:b/>
                <w:sz w:val="17"/>
              </w:rPr>
              <w:t>Scientific Meaning</w:t>
            </w:r>
          </w:p>
        </w:tc>
        <w:tc>
          <w:tcPr>
            <w:tcW w:type="dxa" w:w="3389"/>
            <w:vAlign w:val="center"/>
            <w:shd w:fill="D9EAF7"/>
          </w:tcPr>
          <w:p>
            <w:r/>
            <w:r>
              <w:rPr>
                <w:rFonts w:ascii="Arial" w:hAnsi="Arial"/>
                <w:b/>
                <w:sz w:val="17"/>
              </w:rPr>
              <w:t>Typical Output</w:t>
            </w:r>
          </w:p>
        </w:tc>
      </w:tr>
      <w:tr>
        <w:tc>
          <w:tcPr>
            <w:tcW w:type="dxa" w:w="3389"/>
            <w:vAlign w:val="center"/>
          </w:tcPr>
          <w:p>
            <w:r/>
            <w:r>
              <w:rPr>
                <w:rFonts w:ascii="Arial" w:hAnsi="Arial"/>
                <w:b w:val="0"/>
                <w:sz w:val="17"/>
              </w:rPr>
              <w:t>Nanoparticle conditioning</w:t>
            </w:r>
          </w:p>
        </w:tc>
        <w:tc>
          <w:tcPr>
            <w:tcW w:type="dxa" w:w="3389"/>
            <w:vAlign w:val="center"/>
          </w:tcPr>
          <w:p>
            <w:r/>
            <w:r>
              <w:rPr>
                <w:rFonts w:ascii="Arial" w:hAnsi="Arial"/>
                <w:b w:val="0"/>
                <w:sz w:val="17"/>
              </w:rPr>
              <w:t>Creates a suitable surface environment for biomolecule interaction</w:t>
            </w:r>
          </w:p>
        </w:tc>
        <w:tc>
          <w:tcPr>
            <w:tcW w:type="dxa" w:w="3389"/>
            <w:vAlign w:val="center"/>
          </w:tcPr>
          <w:p>
            <w:r/>
            <w:r>
              <w:rPr>
                <w:rFonts w:ascii="Arial" w:hAnsi="Arial"/>
                <w:b w:val="0"/>
                <w:sz w:val="17"/>
              </w:rPr>
              <w:t>Stable functionalized nanoparticle dispersion</w:t>
            </w:r>
          </w:p>
        </w:tc>
      </w:tr>
      <w:tr>
        <w:tc>
          <w:tcPr>
            <w:tcW w:type="dxa" w:w="3389"/>
            <w:vAlign w:val="center"/>
          </w:tcPr>
          <w:p>
            <w:r/>
            <w:r>
              <w:rPr>
                <w:rFonts w:ascii="Arial" w:hAnsi="Arial"/>
                <w:b w:val="0"/>
                <w:sz w:val="17"/>
              </w:rPr>
              <w:t>Antibody association</w:t>
            </w:r>
          </w:p>
        </w:tc>
        <w:tc>
          <w:tcPr>
            <w:tcW w:type="dxa" w:w="3389"/>
            <w:vAlign w:val="center"/>
          </w:tcPr>
          <w:p>
            <w:r/>
            <w:r>
              <w:rPr>
                <w:rFonts w:ascii="Arial" w:hAnsi="Arial"/>
                <w:b w:val="0"/>
                <w:sz w:val="17"/>
              </w:rPr>
              <w:t>Adds recognition capability to the nanoparticle surface</w:t>
            </w:r>
          </w:p>
        </w:tc>
        <w:tc>
          <w:tcPr>
            <w:tcW w:type="dxa" w:w="3389"/>
            <w:vAlign w:val="center"/>
          </w:tcPr>
          <w:p>
            <w:r/>
            <w:r>
              <w:rPr>
                <w:rFonts w:ascii="Arial" w:hAnsi="Arial"/>
                <w:b w:val="0"/>
                <w:sz w:val="17"/>
              </w:rPr>
              <w:t>Antibody-bearing nanoparticle system</w:t>
            </w:r>
          </w:p>
        </w:tc>
      </w:tr>
      <w:tr>
        <w:tc>
          <w:tcPr>
            <w:tcW w:type="dxa" w:w="3389"/>
            <w:vAlign w:val="center"/>
          </w:tcPr>
          <w:p>
            <w:r/>
            <w:r>
              <w:rPr>
                <w:rFonts w:ascii="Arial" w:hAnsi="Arial"/>
                <w:b w:val="0"/>
                <w:sz w:val="17"/>
              </w:rPr>
              <w:t>Blocking and stabilization</w:t>
            </w:r>
          </w:p>
        </w:tc>
        <w:tc>
          <w:tcPr>
            <w:tcW w:type="dxa" w:w="3389"/>
            <w:vAlign w:val="center"/>
          </w:tcPr>
          <w:p>
            <w:r/>
            <w:r>
              <w:rPr>
                <w:rFonts w:ascii="Arial" w:hAnsi="Arial"/>
                <w:b w:val="0"/>
                <w:sz w:val="17"/>
              </w:rPr>
              <w:t>Reduces non-specific binding and supports dispersion behaviour</w:t>
            </w:r>
          </w:p>
        </w:tc>
        <w:tc>
          <w:tcPr>
            <w:tcW w:type="dxa" w:w="3389"/>
            <w:vAlign w:val="center"/>
          </w:tcPr>
          <w:p>
            <w:r/>
            <w:r>
              <w:rPr>
                <w:rFonts w:ascii="Arial" w:hAnsi="Arial"/>
                <w:b w:val="0"/>
                <w:sz w:val="17"/>
              </w:rPr>
              <w:t>More stable probe candidate</w:t>
            </w:r>
          </w:p>
        </w:tc>
      </w:tr>
      <w:tr>
        <w:tc>
          <w:tcPr>
            <w:tcW w:type="dxa" w:w="3389"/>
            <w:vAlign w:val="center"/>
          </w:tcPr>
          <w:p>
            <w:r/>
            <w:r>
              <w:rPr>
                <w:rFonts w:ascii="Arial" w:hAnsi="Arial"/>
                <w:b w:val="0"/>
                <w:sz w:val="17"/>
              </w:rPr>
              <w:t>Antigen exposure</w:t>
            </w:r>
          </w:p>
        </w:tc>
        <w:tc>
          <w:tcPr>
            <w:tcW w:type="dxa" w:w="3389"/>
            <w:vAlign w:val="center"/>
          </w:tcPr>
          <w:p>
            <w:r/>
            <w:r>
              <w:rPr>
                <w:rFonts w:ascii="Arial" w:hAnsi="Arial"/>
                <w:b w:val="0"/>
                <w:sz w:val="17"/>
              </w:rPr>
              <w:t>Allows target recognition and complex formation</w:t>
            </w:r>
          </w:p>
        </w:tc>
        <w:tc>
          <w:tcPr>
            <w:tcW w:type="dxa" w:w="3389"/>
            <w:vAlign w:val="center"/>
          </w:tcPr>
          <w:p>
            <w:r/>
            <w:r>
              <w:rPr>
                <w:rFonts w:ascii="Arial" w:hAnsi="Arial"/>
                <w:b w:val="0"/>
                <w:sz w:val="17"/>
              </w:rPr>
              <w:t>Nanoparticle-antibody-antigen complex</w:t>
            </w:r>
          </w:p>
        </w:tc>
      </w:tr>
      <w:tr>
        <w:tc>
          <w:tcPr>
            <w:tcW w:type="dxa" w:w="3389"/>
            <w:vAlign w:val="center"/>
          </w:tcPr>
          <w:p>
            <w:r/>
            <w:r>
              <w:rPr>
                <w:rFonts w:ascii="Arial" w:hAnsi="Arial"/>
                <w:b w:val="0"/>
                <w:sz w:val="17"/>
              </w:rPr>
              <w:t>Offline validation</w:t>
            </w:r>
          </w:p>
        </w:tc>
        <w:tc>
          <w:tcPr>
            <w:tcW w:type="dxa" w:w="3389"/>
            <w:vAlign w:val="center"/>
          </w:tcPr>
          <w:p>
            <w:r/>
            <w:r>
              <w:rPr>
                <w:rFonts w:ascii="Arial" w:hAnsi="Arial"/>
                <w:b w:val="0"/>
                <w:sz w:val="17"/>
              </w:rPr>
              <w:t>Confirms whether binding and specificity occurred</w:t>
            </w:r>
          </w:p>
        </w:tc>
        <w:tc>
          <w:tcPr>
            <w:tcW w:type="dxa" w:w="3389"/>
            <w:vAlign w:val="center"/>
          </w:tcPr>
          <w:p>
            <w:r/>
            <w:r>
              <w:rPr>
                <w:rFonts w:ascii="Arial" w:hAnsi="Arial"/>
                <w:b w:val="0"/>
                <w:sz w:val="17"/>
              </w:rPr>
              <w:t>Validated or rejected complex candidate</w:t>
            </w:r>
          </w:p>
        </w:tc>
      </w:tr>
    </w:tbl>
    <w:p/>
    <w:p>
      <w:pPr>
        <w:pStyle w:val="Heading1"/>
      </w:pPr>
      <w:r>
        <w:rPr>
          <w:rFonts w:ascii="Arial" w:hAnsi="Arial"/>
        </w:rPr>
        <w:t>9. Critical Variables</w:t>
      </w:r>
    </w:p>
    <w:p>
      <w:pPr>
        <w:spacing w:after="100"/>
        <w:jc w:val="both"/>
      </w:pPr>
      <w:r>
        <w:rPr>
          <w:rFonts w:ascii="Arial" w:hAnsi="Arial"/>
          <w:sz w:val="20"/>
        </w:rPr>
        <w:t>The quality of the final complex depends on both nanomaterial properties and biomolecular conditions. These variables should be recorded for every batch because they help explain differences in aggregation, binding response, and assay performance.</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Variable</w:t>
            </w:r>
          </w:p>
        </w:tc>
        <w:tc>
          <w:tcPr>
            <w:tcW w:type="dxa" w:w="5083"/>
            <w:vAlign w:val="center"/>
            <w:shd w:fill="D9EAF7"/>
          </w:tcPr>
          <w:p>
            <w:r/>
            <w:r>
              <w:rPr>
                <w:rFonts w:ascii="Arial" w:hAnsi="Arial"/>
                <w:b/>
                <w:sz w:val="17"/>
              </w:rPr>
              <w:t>Why It Matters</w:t>
            </w:r>
          </w:p>
        </w:tc>
      </w:tr>
      <w:tr>
        <w:tc>
          <w:tcPr>
            <w:tcW w:type="dxa" w:w="5083"/>
            <w:vAlign w:val="center"/>
          </w:tcPr>
          <w:p>
            <w:r/>
            <w:r>
              <w:rPr>
                <w:rFonts w:ascii="Arial" w:hAnsi="Arial"/>
                <w:b w:val="0"/>
                <w:sz w:val="17"/>
              </w:rPr>
              <w:t>Nanoparticle type</w:t>
            </w:r>
          </w:p>
        </w:tc>
        <w:tc>
          <w:tcPr>
            <w:tcW w:type="dxa" w:w="5083"/>
            <w:vAlign w:val="center"/>
          </w:tcPr>
          <w:p>
            <w:r/>
            <w:r>
              <w:rPr>
                <w:rFonts w:ascii="Arial" w:hAnsi="Arial"/>
                <w:b w:val="0"/>
                <w:sz w:val="17"/>
              </w:rPr>
              <w:t>Gold and silver differ in optical behaviour, surface chemistry, and stability</w:t>
            </w:r>
          </w:p>
        </w:tc>
      </w:tr>
      <w:tr>
        <w:tc>
          <w:tcPr>
            <w:tcW w:type="dxa" w:w="5083"/>
            <w:vAlign w:val="center"/>
          </w:tcPr>
          <w:p>
            <w:r/>
            <w:r>
              <w:rPr>
                <w:rFonts w:ascii="Arial" w:hAnsi="Arial"/>
                <w:b w:val="0"/>
                <w:sz w:val="17"/>
              </w:rPr>
              <w:t>Nanoparticle size and concentration</w:t>
            </w:r>
          </w:p>
        </w:tc>
        <w:tc>
          <w:tcPr>
            <w:tcW w:type="dxa" w:w="5083"/>
            <w:vAlign w:val="center"/>
          </w:tcPr>
          <w:p>
            <w:r/>
            <w:r>
              <w:rPr>
                <w:rFonts w:ascii="Arial" w:hAnsi="Arial"/>
                <w:b w:val="0"/>
                <w:sz w:val="17"/>
              </w:rPr>
              <w:t>Affects surface area, aggregation tendency, and signal response</w:t>
            </w:r>
          </w:p>
        </w:tc>
      </w:tr>
      <w:tr>
        <w:tc>
          <w:tcPr>
            <w:tcW w:type="dxa" w:w="5083"/>
            <w:vAlign w:val="center"/>
          </w:tcPr>
          <w:p>
            <w:r/>
            <w:r>
              <w:rPr>
                <w:rFonts w:ascii="Arial" w:hAnsi="Arial"/>
                <w:b w:val="0"/>
                <w:sz w:val="17"/>
              </w:rPr>
              <w:t>Surface functional group</w:t>
            </w:r>
          </w:p>
        </w:tc>
        <w:tc>
          <w:tcPr>
            <w:tcW w:type="dxa" w:w="5083"/>
            <w:vAlign w:val="center"/>
          </w:tcPr>
          <w:p>
            <w:r/>
            <w:r>
              <w:rPr>
                <w:rFonts w:ascii="Arial" w:hAnsi="Arial"/>
                <w:b w:val="0"/>
                <w:sz w:val="17"/>
              </w:rPr>
              <w:t>Determines how antibody attaches to the nanoparticle</w:t>
            </w:r>
          </w:p>
        </w:tc>
      </w:tr>
      <w:tr>
        <w:tc>
          <w:tcPr>
            <w:tcW w:type="dxa" w:w="5083"/>
            <w:vAlign w:val="center"/>
          </w:tcPr>
          <w:p>
            <w:r/>
            <w:r>
              <w:rPr>
                <w:rFonts w:ascii="Arial" w:hAnsi="Arial"/>
                <w:b w:val="0"/>
                <w:sz w:val="17"/>
              </w:rPr>
              <w:t>Antibody concentration</w:t>
            </w:r>
          </w:p>
        </w:tc>
        <w:tc>
          <w:tcPr>
            <w:tcW w:type="dxa" w:w="5083"/>
            <w:vAlign w:val="center"/>
          </w:tcPr>
          <w:p>
            <w:r/>
            <w:r>
              <w:rPr>
                <w:rFonts w:ascii="Arial" w:hAnsi="Arial"/>
                <w:b w:val="0"/>
                <w:sz w:val="17"/>
              </w:rPr>
              <w:t>Controls surface coverage and may affect aggregation</w:t>
            </w:r>
          </w:p>
        </w:tc>
      </w:tr>
      <w:tr>
        <w:tc>
          <w:tcPr>
            <w:tcW w:type="dxa" w:w="5083"/>
            <w:vAlign w:val="center"/>
          </w:tcPr>
          <w:p>
            <w:r/>
            <w:r>
              <w:rPr>
                <w:rFonts w:ascii="Arial" w:hAnsi="Arial"/>
                <w:b w:val="0"/>
                <w:sz w:val="17"/>
              </w:rPr>
              <w:t>Antigen concentration</w:t>
            </w:r>
          </w:p>
        </w:tc>
        <w:tc>
          <w:tcPr>
            <w:tcW w:type="dxa" w:w="5083"/>
            <w:vAlign w:val="center"/>
          </w:tcPr>
          <w:p>
            <w:r/>
            <w:r>
              <w:rPr>
                <w:rFonts w:ascii="Arial" w:hAnsi="Arial"/>
                <w:b w:val="0"/>
                <w:sz w:val="17"/>
              </w:rPr>
              <w:t>Influences complex formation and response intensity</w:t>
            </w:r>
          </w:p>
        </w:tc>
      </w:tr>
      <w:tr>
        <w:tc>
          <w:tcPr>
            <w:tcW w:type="dxa" w:w="5083"/>
            <w:vAlign w:val="center"/>
          </w:tcPr>
          <w:p>
            <w:r/>
            <w:r>
              <w:rPr>
                <w:rFonts w:ascii="Arial" w:hAnsi="Arial"/>
                <w:b w:val="0"/>
                <w:sz w:val="17"/>
              </w:rPr>
              <w:t>Buffer composition</w:t>
            </w:r>
          </w:p>
        </w:tc>
        <w:tc>
          <w:tcPr>
            <w:tcW w:type="dxa" w:w="5083"/>
            <w:vAlign w:val="center"/>
          </w:tcPr>
          <w:p>
            <w:r/>
            <w:r>
              <w:rPr>
                <w:rFonts w:ascii="Arial" w:hAnsi="Arial"/>
                <w:b w:val="0"/>
                <w:sz w:val="17"/>
              </w:rPr>
              <w:t>Affects protein stability and electrostatic interactions</w:t>
            </w:r>
          </w:p>
        </w:tc>
      </w:tr>
      <w:tr>
        <w:tc>
          <w:tcPr>
            <w:tcW w:type="dxa" w:w="5083"/>
            <w:vAlign w:val="center"/>
          </w:tcPr>
          <w:p>
            <w:r/>
            <w:r>
              <w:rPr>
                <w:rFonts w:ascii="Arial" w:hAnsi="Arial"/>
                <w:b w:val="0"/>
                <w:sz w:val="17"/>
              </w:rPr>
              <w:t>pH condition</w:t>
            </w:r>
          </w:p>
        </w:tc>
        <w:tc>
          <w:tcPr>
            <w:tcW w:type="dxa" w:w="5083"/>
            <w:vAlign w:val="center"/>
          </w:tcPr>
          <w:p>
            <w:r/>
            <w:r>
              <w:rPr>
                <w:rFonts w:ascii="Arial" w:hAnsi="Arial"/>
                <w:b w:val="0"/>
                <w:sz w:val="17"/>
              </w:rPr>
              <w:t>Influences protein charge and nanoparticle stability; verify offline</w:t>
            </w:r>
          </w:p>
        </w:tc>
      </w:tr>
      <w:tr>
        <w:tc>
          <w:tcPr>
            <w:tcW w:type="dxa" w:w="5083"/>
            <w:vAlign w:val="center"/>
          </w:tcPr>
          <w:p>
            <w:r/>
            <w:r>
              <w:rPr>
                <w:rFonts w:ascii="Arial" w:hAnsi="Arial"/>
                <w:b w:val="0"/>
                <w:sz w:val="17"/>
              </w:rPr>
              <w:t>Salt level</w:t>
            </w:r>
          </w:p>
        </w:tc>
        <w:tc>
          <w:tcPr>
            <w:tcW w:type="dxa" w:w="5083"/>
            <w:vAlign w:val="center"/>
          </w:tcPr>
          <w:p>
            <w:r/>
            <w:r>
              <w:rPr>
                <w:rFonts w:ascii="Arial" w:hAnsi="Arial"/>
                <w:b w:val="0"/>
                <w:sz w:val="17"/>
              </w:rPr>
              <w:t>May improve or destabilize interactions depending on system</w:t>
            </w:r>
          </w:p>
        </w:tc>
      </w:tr>
      <w:tr>
        <w:tc>
          <w:tcPr>
            <w:tcW w:type="dxa" w:w="5083"/>
            <w:vAlign w:val="center"/>
          </w:tcPr>
          <w:p>
            <w:r/>
            <w:r>
              <w:rPr>
                <w:rFonts w:ascii="Arial" w:hAnsi="Arial"/>
                <w:b w:val="0"/>
                <w:sz w:val="17"/>
              </w:rPr>
              <w:t>Blocking agent</w:t>
            </w:r>
          </w:p>
        </w:tc>
        <w:tc>
          <w:tcPr>
            <w:tcW w:type="dxa" w:w="5083"/>
            <w:vAlign w:val="center"/>
          </w:tcPr>
          <w:p>
            <w:r/>
            <w:r>
              <w:rPr>
                <w:rFonts w:ascii="Arial" w:hAnsi="Arial"/>
                <w:b w:val="0"/>
                <w:sz w:val="17"/>
              </w:rPr>
              <w:t>Reduces non-specific interaction and surface fouling</w:t>
            </w:r>
          </w:p>
        </w:tc>
      </w:tr>
      <w:tr>
        <w:tc>
          <w:tcPr>
            <w:tcW w:type="dxa" w:w="5083"/>
            <w:vAlign w:val="center"/>
          </w:tcPr>
          <w:p>
            <w:r/>
            <w:r>
              <w:rPr>
                <w:rFonts w:ascii="Arial" w:hAnsi="Arial"/>
                <w:b w:val="0"/>
                <w:sz w:val="17"/>
              </w:rPr>
              <w:t>Incubation time</w:t>
            </w:r>
          </w:p>
        </w:tc>
        <w:tc>
          <w:tcPr>
            <w:tcW w:type="dxa" w:w="5083"/>
            <w:vAlign w:val="center"/>
          </w:tcPr>
          <w:p>
            <w:r/>
            <w:r>
              <w:rPr>
                <w:rFonts w:ascii="Arial" w:hAnsi="Arial"/>
                <w:b w:val="0"/>
                <w:sz w:val="17"/>
              </w:rPr>
              <w:t>Controls binding opportunity and stabilization</w:t>
            </w:r>
          </w:p>
        </w:tc>
      </w:tr>
      <w:tr>
        <w:tc>
          <w:tcPr>
            <w:tcW w:type="dxa" w:w="5083"/>
            <w:vAlign w:val="center"/>
          </w:tcPr>
          <w:p>
            <w:r/>
            <w:r>
              <w:rPr>
                <w:rFonts w:ascii="Arial" w:hAnsi="Arial"/>
                <w:b w:val="0"/>
                <w:sz w:val="17"/>
              </w:rPr>
              <w:t>Mixing speed</w:t>
            </w:r>
          </w:p>
        </w:tc>
        <w:tc>
          <w:tcPr>
            <w:tcW w:type="dxa" w:w="5083"/>
            <w:vAlign w:val="center"/>
          </w:tcPr>
          <w:p>
            <w:r/>
            <w:r>
              <w:rPr>
                <w:rFonts w:ascii="Arial" w:hAnsi="Arial"/>
                <w:b w:val="0"/>
                <w:sz w:val="17"/>
              </w:rPr>
              <w:t>Should be gentle to avoid denaturing proteins or causing aggregation</w:t>
            </w:r>
          </w:p>
        </w:tc>
      </w:tr>
    </w:tbl>
    <w:p/>
    <w:p>
      <w:pPr>
        <w:pStyle w:val="Heading1"/>
      </w:pPr>
      <w:r>
        <w:rPr>
          <w:rFonts w:ascii="Arial" w:hAnsi="Arial"/>
        </w:rPr>
        <w:t>10. Expected Observations and Meaning</w:t>
      </w:r>
    </w:p>
    <w:p>
      <w:pPr>
        <w:spacing w:after="100"/>
        <w:jc w:val="both"/>
      </w:pPr>
      <w:r>
        <w:rPr>
          <w:rFonts w:ascii="Arial" w:hAnsi="Arial"/>
          <w:sz w:val="20"/>
        </w:rPr>
        <w:t>Visual observation is useful for early screening but cannot prove successful antigen-antibody binding. It can, however, help identify obvious formulation or stability problems.</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Observation</w:t>
            </w:r>
          </w:p>
        </w:tc>
        <w:tc>
          <w:tcPr>
            <w:tcW w:type="dxa" w:w="5083"/>
            <w:vAlign w:val="center"/>
            <w:shd w:fill="D9EAF7"/>
          </w:tcPr>
          <w:p>
            <w:r/>
            <w:r>
              <w:rPr>
                <w:rFonts w:ascii="Arial" w:hAnsi="Arial"/>
                <w:b/>
                <w:sz w:val="17"/>
              </w:rPr>
              <w:t>Possible Meaning</w:t>
            </w:r>
          </w:p>
        </w:tc>
      </w:tr>
      <w:tr>
        <w:tc>
          <w:tcPr>
            <w:tcW w:type="dxa" w:w="5083"/>
            <w:vAlign w:val="center"/>
          </w:tcPr>
          <w:p>
            <w:r/>
            <w:r>
              <w:rPr>
                <w:rFonts w:ascii="Arial" w:hAnsi="Arial"/>
                <w:b w:val="0"/>
                <w:sz w:val="17"/>
              </w:rPr>
              <w:t>Uniform red or yellow-brown nanoparticle dispersion</w:t>
            </w:r>
          </w:p>
        </w:tc>
        <w:tc>
          <w:tcPr>
            <w:tcW w:type="dxa" w:w="5083"/>
            <w:vAlign w:val="center"/>
          </w:tcPr>
          <w:p>
            <w:r/>
            <w:r>
              <w:rPr>
                <w:rFonts w:ascii="Arial" w:hAnsi="Arial"/>
                <w:b w:val="0"/>
                <w:sz w:val="17"/>
              </w:rPr>
              <w:t>Stable gold or silver nanoparticle system depending on material</w:t>
            </w:r>
          </w:p>
        </w:tc>
      </w:tr>
      <w:tr>
        <w:tc>
          <w:tcPr>
            <w:tcW w:type="dxa" w:w="5083"/>
            <w:vAlign w:val="center"/>
          </w:tcPr>
          <w:p>
            <w:r/>
            <w:r>
              <w:rPr>
                <w:rFonts w:ascii="Arial" w:hAnsi="Arial"/>
                <w:b w:val="0"/>
                <w:sz w:val="17"/>
              </w:rPr>
              <w:t>Slight colour shift after biomolecule addition</w:t>
            </w:r>
          </w:p>
        </w:tc>
        <w:tc>
          <w:tcPr>
            <w:tcW w:type="dxa" w:w="5083"/>
            <w:vAlign w:val="center"/>
          </w:tcPr>
          <w:p>
            <w:r/>
            <w:r>
              <w:rPr>
                <w:rFonts w:ascii="Arial" w:hAnsi="Arial"/>
                <w:b w:val="0"/>
                <w:sz w:val="17"/>
              </w:rPr>
              <w:t>Possible surface interaction or local refractive-index change</w:t>
            </w:r>
          </w:p>
        </w:tc>
      </w:tr>
      <w:tr>
        <w:tc>
          <w:tcPr>
            <w:tcW w:type="dxa" w:w="5083"/>
            <w:vAlign w:val="center"/>
          </w:tcPr>
          <w:p>
            <w:r/>
            <w:r>
              <w:rPr>
                <w:rFonts w:ascii="Arial" w:hAnsi="Arial"/>
                <w:b w:val="0"/>
                <w:sz w:val="17"/>
              </w:rPr>
              <w:t>Rapid colour darkening or grey/blue shift</w:t>
            </w:r>
          </w:p>
        </w:tc>
        <w:tc>
          <w:tcPr>
            <w:tcW w:type="dxa" w:w="5083"/>
            <w:vAlign w:val="center"/>
          </w:tcPr>
          <w:p>
            <w:r/>
            <w:r>
              <w:rPr>
                <w:rFonts w:ascii="Arial" w:hAnsi="Arial"/>
                <w:b w:val="0"/>
                <w:sz w:val="17"/>
              </w:rPr>
              <w:t>Possible aggregation, especially in gold nanoparticle systems</w:t>
            </w:r>
          </w:p>
        </w:tc>
      </w:tr>
      <w:tr>
        <w:tc>
          <w:tcPr>
            <w:tcW w:type="dxa" w:w="5083"/>
            <w:vAlign w:val="center"/>
          </w:tcPr>
          <w:p>
            <w:r/>
            <w:r>
              <w:rPr>
                <w:rFonts w:ascii="Arial" w:hAnsi="Arial"/>
                <w:b w:val="0"/>
                <w:sz w:val="17"/>
              </w:rPr>
              <w:t>Visible sediment</w:t>
            </w:r>
          </w:p>
        </w:tc>
        <w:tc>
          <w:tcPr>
            <w:tcW w:type="dxa" w:w="5083"/>
            <w:vAlign w:val="center"/>
          </w:tcPr>
          <w:p>
            <w:r/>
            <w:r>
              <w:rPr>
                <w:rFonts w:ascii="Arial" w:hAnsi="Arial"/>
                <w:b w:val="0"/>
                <w:sz w:val="17"/>
              </w:rPr>
              <w:t>Unstable complex or excessive aggregation</w:t>
            </w:r>
          </w:p>
        </w:tc>
      </w:tr>
      <w:tr>
        <w:tc>
          <w:tcPr>
            <w:tcW w:type="dxa" w:w="5083"/>
            <w:vAlign w:val="center"/>
          </w:tcPr>
          <w:p>
            <w:r/>
            <w:r>
              <w:rPr>
                <w:rFonts w:ascii="Arial" w:hAnsi="Arial"/>
                <w:b w:val="0"/>
                <w:sz w:val="17"/>
              </w:rPr>
              <w:t>Persistent foam</w:t>
            </w:r>
          </w:p>
        </w:tc>
        <w:tc>
          <w:tcPr>
            <w:tcW w:type="dxa" w:w="5083"/>
            <w:vAlign w:val="center"/>
          </w:tcPr>
          <w:p>
            <w:r/>
            <w:r>
              <w:rPr>
                <w:rFonts w:ascii="Arial" w:hAnsi="Arial"/>
                <w:b w:val="0"/>
                <w:sz w:val="17"/>
              </w:rPr>
              <w:t>Overmixing or incompatible protein/stabilizer condition</w:t>
            </w:r>
          </w:p>
        </w:tc>
      </w:tr>
      <w:tr>
        <w:tc>
          <w:tcPr>
            <w:tcW w:type="dxa" w:w="5083"/>
            <w:vAlign w:val="center"/>
          </w:tcPr>
          <w:p>
            <w:r/>
            <w:r>
              <w:rPr>
                <w:rFonts w:ascii="Arial" w:hAnsi="Arial"/>
                <w:b w:val="0"/>
                <w:sz w:val="17"/>
              </w:rPr>
              <w:t>No visible change</w:t>
            </w:r>
          </w:p>
        </w:tc>
        <w:tc>
          <w:tcPr>
            <w:tcW w:type="dxa" w:w="5083"/>
            <w:vAlign w:val="center"/>
          </w:tcPr>
          <w:p>
            <w:r/>
            <w:r>
              <w:rPr>
                <w:rFonts w:ascii="Arial" w:hAnsi="Arial"/>
                <w:b w:val="0"/>
                <w:sz w:val="17"/>
              </w:rPr>
              <w:t>May still be acceptable; binding often requires external confirmation</w:t>
            </w:r>
          </w:p>
        </w:tc>
      </w:tr>
      <w:tr>
        <w:tc>
          <w:tcPr>
            <w:tcW w:type="dxa" w:w="5083"/>
            <w:vAlign w:val="center"/>
          </w:tcPr>
          <w:p>
            <w:r/>
            <w:r>
              <w:rPr>
                <w:rFonts w:ascii="Arial" w:hAnsi="Arial"/>
                <w:b w:val="0"/>
                <w:sz w:val="17"/>
              </w:rPr>
              <w:t>Layering or phase separation</w:t>
            </w:r>
          </w:p>
        </w:tc>
        <w:tc>
          <w:tcPr>
            <w:tcW w:type="dxa" w:w="5083"/>
            <w:vAlign w:val="center"/>
          </w:tcPr>
          <w:p>
            <w:r/>
            <w:r>
              <w:rPr>
                <w:rFonts w:ascii="Arial" w:hAnsi="Arial"/>
                <w:b w:val="0"/>
                <w:sz w:val="17"/>
              </w:rPr>
              <w:t>Poor buffer, stabilizer, or particle compatibility</w:t>
            </w:r>
          </w:p>
        </w:tc>
      </w:tr>
      <w:tr>
        <w:tc>
          <w:tcPr>
            <w:tcW w:type="dxa" w:w="5083"/>
            <w:vAlign w:val="center"/>
          </w:tcPr>
          <w:p>
            <w:r/>
            <w:r>
              <w:rPr>
                <w:rFonts w:ascii="Arial" w:hAnsi="Arial"/>
                <w:b w:val="0"/>
                <w:sz w:val="17"/>
              </w:rPr>
              <w:t>Stable appearance after waiting</w:t>
            </w:r>
          </w:p>
        </w:tc>
        <w:tc>
          <w:tcPr>
            <w:tcW w:type="dxa" w:w="5083"/>
            <w:vAlign w:val="center"/>
          </w:tcPr>
          <w:p>
            <w:r/>
            <w:r>
              <w:rPr>
                <w:rFonts w:ascii="Arial" w:hAnsi="Arial"/>
                <w:b w:val="0"/>
                <w:sz w:val="17"/>
              </w:rPr>
              <w:t>Better preliminary colloidal stability</w:t>
            </w:r>
          </w:p>
        </w:tc>
      </w:tr>
    </w:tbl>
    <w:p/>
    <w:p>
      <w:pPr>
        <w:pStyle w:val="Heading1"/>
      </w:pPr>
      <w:r>
        <w:rPr>
          <w:rFonts w:ascii="Arial" w:hAnsi="Arial"/>
        </w:rPr>
        <w:t>11. Offline Validation Strategy</w:t>
      </w:r>
    </w:p>
    <w:p>
      <w:pPr>
        <w:spacing w:after="100"/>
        <w:jc w:val="both"/>
      </w:pPr>
      <w:r>
        <w:rPr>
          <w:rFonts w:ascii="Arial" w:hAnsi="Arial"/>
          <w:sz w:val="20"/>
        </w:rPr>
        <w:t>A credible antigen-antibody nanomaterial protocol must clearly separate preparation from validation. The NSL-supported workflow can prepare the complex candidate, but external tests are needed to prove whether the antigen is recognized correctly and whether the complex is stable.</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Validation Method</w:t>
            </w:r>
          </w:p>
        </w:tc>
        <w:tc>
          <w:tcPr>
            <w:tcW w:type="dxa" w:w="5083"/>
            <w:vAlign w:val="center"/>
            <w:shd w:fill="D9EAF7"/>
          </w:tcPr>
          <w:p>
            <w:r/>
            <w:r>
              <w:rPr>
                <w:rFonts w:ascii="Arial" w:hAnsi="Arial"/>
                <w:b/>
                <w:sz w:val="17"/>
              </w:rPr>
              <w:t>Purpose</w:t>
            </w:r>
          </w:p>
        </w:tc>
      </w:tr>
      <w:tr>
        <w:tc>
          <w:tcPr>
            <w:tcW w:type="dxa" w:w="5083"/>
            <w:vAlign w:val="center"/>
          </w:tcPr>
          <w:p>
            <w:r/>
            <w:r>
              <w:rPr>
                <w:rFonts w:ascii="Arial" w:hAnsi="Arial"/>
                <w:b w:val="0"/>
                <w:sz w:val="17"/>
              </w:rPr>
              <w:t>UV-Vis spectroscopy</w:t>
            </w:r>
          </w:p>
        </w:tc>
        <w:tc>
          <w:tcPr>
            <w:tcW w:type="dxa" w:w="5083"/>
            <w:vAlign w:val="center"/>
          </w:tcPr>
          <w:p>
            <w:r/>
            <w:r>
              <w:rPr>
                <w:rFonts w:ascii="Arial" w:hAnsi="Arial"/>
                <w:b w:val="0"/>
                <w:sz w:val="17"/>
              </w:rPr>
              <w:t>Checks nanoparticle plasmon shift, aggregation, and concentration trend</w:t>
            </w:r>
          </w:p>
        </w:tc>
      </w:tr>
      <w:tr>
        <w:tc>
          <w:tcPr>
            <w:tcW w:type="dxa" w:w="5083"/>
            <w:vAlign w:val="center"/>
          </w:tcPr>
          <w:p>
            <w:r/>
            <w:r>
              <w:rPr>
                <w:rFonts w:ascii="Arial" w:hAnsi="Arial"/>
                <w:b w:val="0"/>
                <w:sz w:val="17"/>
              </w:rPr>
              <w:t>DLS</w:t>
            </w:r>
          </w:p>
        </w:tc>
        <w:tc>
          <w:tcPr>
            <w:tcW w:type="dxa" w:w="5083"/>
            <w:vAlign w:val="center"/>
          </w:tcPr>
          <w:p>
            <w:r/>
            <w:r>
              <w:rPr>
                <w:rFonts w:ascii="Arial" w:hAnsi="Arial"/>
                <w:b w:val="0"/>
                <w:sz w:val="17"/>
              </w:rPr>
              <w:t>Measures hydrodynamic size increase after antibody and antigen binding</w:t>
            </w:r>
          </w:p>
        </w:tc>
      </w:tr>
      <w:tr>
        <w:tc>
          <w:tcPr>
            <w:tcW w:type="dxa" w:w="5083"/>
            <w:vAlign w:val="center"/>
          </w:tcPr>
          <w:p>
            <w:r/>
            <w:r>
              <w:rPr>
                <w:rFonts w:ascii="Arial" w:hAnsi="Arial"/>
                <w:b w:val="0"/>
                <w:sz w:val="17"/>
              </w:rPr>
              <w:t>Zeta potential</w:t>
            </w:r>
          </w:p>
        </w:tc>
        <w:tc>
          <w:tcPr>
            <w:tcW w:type="dxa" w:w="5083"/>
            <w:vAlign w:val="center"/>
          </w:tcPr>
          <w:p>
            <w:r/>
            <w:r>
              <w:rPr>
                <w:rFonts w:ascii="Arial" w:hAnsi="Arial"/>
                <w:b w:val="0"/>
                <w:sz w:val="17"/>
              </w:rPr>
              <w:t>Tracks surface charge changes after each modification step</w:t>
            </w:r>
          </w:p>
        </w:tc>
      </w:tr>
      <w:tr>
        <w:tc>
          <w:tcPr>
            <w:tcW w:type="dxa" w:w="5083"/>
            <w:vAlign w:val="center"/>
          </w:tcPr>
          <w:p>
            <w:r/>
            <w:r>
              <w:rPr>
                <w:rFonts w:ascii="Arial" w:hAnsi="Arial"/>
                <w:b w:val="0"/>
                <w:sz w:val="17"/>
              </w:rPr>
              <w:t>Protein quantification</w:t>
            </w:r>
          </w:p>
        </w:tc>
        <w:tc>
          <w:tcPr>
            <w:tcW w:type="dxa" w:w="5083"/>
            <w:vAlign w:val="center"/>
          </w:tcPr>
          <w:p>
            <w:r/>
            <w:r>
              <w:rPr>
                <w:rFonts w:ascii="Arial" w:hAnsi="Arial"/>
                <w:b w:val="0"/>
                <w:sz w:val="17"/>
              </w:rPr>
              <w:t>Estimates antibody attachment or remaining free antibody</w:t>
            </w:r>
          </w:p>
        </w:tc>
      </w:tr>
      <w:tr>
        <w:tc>
          <w:tcPr>
            <w:tcW w:type="dxa" w:w="5083"/>
            <w:vAlign w:val="center"/>
          </w:tcPr>
          <w:p>
            <w:r/>
            <w:r>
              <w:rPr>
                <w:rFonts w:ascii="Arial" w:hAnsi="Arial"/>
                <w:b w:val="0"/>
                <w:sz w:val="17"/>
              </w:rPr>
              <w:t>ELISA-like binding assay</w:t>
            </w:r>
          </w:p>
        </w:tc>
        <w:tc>
          <w:tcPr>
            <w:tcW w:type="dxa" w:w="5083"/>
            <w:vAlign w:val="center"/>
          </w:tcPr>
          <w:p>
            <w:r/>
            <w:r>
              <w:rPr>
                <w:rFonts w:ascii="Arial" w:hAnsi="Arial"/>
                <w:b w:val="0"/>
                <w:sz w:val="17"/>
              </w:rPr>
              <w:t>Confirms specific antigen-antibody recognition</w:t>
            </w:r>
          </w:p>
        </w:tc>
      </w:tr>
      <w:tr>
        <w:tc>
          <w:tcPr>
            <w:tcW w:type="dxa" w:w="5083"/>
            <w:vAlign w:val="center"/>
          </w:tcPr>
          <w:p>
            <w:r/>
            <w:r>
              <w:rPr>
                <w:rFonts w:ascii="Arial" w:hAnsi="Arial"/>
                <w:b w:val="0"/>
                <w:sz w:val="17"/>
              </w:rPr>
              <w:t>Dot blot or lateral flow model</w:t>
            </w:r>
          </w:p>
        </w:tc>
        <w:tc>
          <w:tcPr>
            <w:tcW w:type="dxa" w:w="5083"/>
            <w:vAlign w:val="center"/>
          </w:tcPr>
          <w:p>
            <w:r/>
            <w:r>
              <w:rPr>
                <w:rFonts w:ascii="Arial" w:hAnsi="Arial"/>
                <w:b w:val="0"/>
                <w:sz w:val="17"/>
              </w:rPr>
              <w:t>Demonstrates practical recognition format</w:t>
            </w:r>
          </w:p>
        </w:tc>
      </w:tr>
      <w:tr>
        <w:tc>
          <w:tcPr>
            <w:tcW w:type="dxa" w:w="5083"/>
            <w:vAlign w:val="center"/>
          </w:tcPr>
          <w:p>
            <w:r/>
            <w:r>
              <w:rPr>
                <w:rFonts w:ascii="Arial" w:hAnsi="Arial"/>
                <w:b w:val="0"/>
                <w:sz w:val="17"/>
              </w:rPr>
              <w:t>Microscopy / TEM / SEM</w:t>
            </w:r>
          </w:p>
        </w:tc>
        <w:tc>
          <w:tcPr>
            <w:tcW w:type="dxa" w:w="5083"/>
            <w:vAlign w:val="center"/>
          </w:tcPr>
          <w:p>
            <w:r/>
            <w:r>
              <w:rPr>
                <w:rFonts w:ascii="Arial" w:hAnsi="Arial"/>
                <w:b w:val="0"/>
                <w:sz w:val="17"/>
              </w:rPr>
              <w:t>Observes morphology and aggregation state</w:t>
            </w:r>
          </w:p>
        </w:tc>
      </w:tr>
      <w:tr>
        <w:tc>
          <w:tcPr>
            <w:tcW w:type="dxa" w:w="5083"/>
            <w:vAlign w:val="center"/>
          </w:tcPr>
          <w:p>
            <w:r/>
            <w:r>
              <w:rPr>
                <w:rFonts w:ascii="Arial" w:hAnsi="Arial"/>
                <w:b w:val="0"/>
                <w:sz w:val="17"/>
              </w:rPr>
              <w:t>Stability study</w:t>
            </w:r>
          </w:p>
        </w:tc>
        <w:tc>
          <w:tcPr>
            <w:tcW w:type="dxa" w:w="5083"/>
            <w:vAlign w:val="center"/>
          </w:tcPr>
          <w:p>
            <w:r/>
            <w:r>
              <w:rPr>
                <w:rFonts w:ascii="Arial" w:hAnsi="Arial"/>
                <w:b w:val="0"/>
                <w:sz w:val="17"/>
              </w:rPr>
              <w:t>Checks sedimentation, colour, size, and binding retention over time</w:t>
            </w:r>
          </w:p>
        </w:tc>
      </w:tr>
      <w:tr>
        <w:tc>
          <w:tcPr>
            <w:tcW w:type="dxa" w:w="5083"/>
            <w:vAlign w:val="center"/>
          </w:tcPr>
          <w:p>
            <w:r/>
            <w:r>
              <w:rPr>
                <w:rFonts w:ascii="Arial" w:hAnsi="Arial"/>
                <w:b w:val="0"/>
                <w:sz w:val="17"/>
              </w:rPr>
              <w:t>Cross-reactivity testing</w:t>
            </w:r>
          </w:p>
        </w:tc>
        <w:tc>
          <w:tcPr>
            <w:tcW w:type="dxa" w:w="5083"/>
            <w:vAlign w:val="center"/>
          </w:tcPr>
          <w:p>
            <w:r/>
            <w:r>
              <w:rPr>
                <w:rFonts w:ascii="Arial" w:hAnsi="Arial"/>
                <w:b w:val="0"/>
                <w:sz w:val="17"/>
              </w:rPr>
              <w:t>Determines whether non-target antigens produce false response</w:t>
            </w:r>
          </w:p>
        </w:tc>
      </w:tr>
    </w:tbl>
    <w:p/>
    <w:p>
      <w:pPr>
        <w:pStyle w:val="Heading1"/>
      </w:pPr>
      <w:r>
        <w:rPr>
          <w:rFonts w:ascii="Arial" w:hAnsi="Arial"/>
        </w:rPr>
        <w:t>12. Suggested Batch Record Format</w:t>
      </w:r>
    </w:p>
    <w:p>
      <w:pPr>
        <w:spacing w:after="100"/>
        <w:jc w:val="both"/>
      </w:pPr>
      <w:r>
        <w:rPr>
          <w:rFonts w:ascii="Arial" w:hAnsi="Arial"/>
          <w:sz w:val="20"/>
        </w:rPr>
        <w:t>A simple batch record can make the workflow more scientific and useful for comparison.</w:t>
      </w:r>
    </w:p>
    <w:tbl>
      <w:tblPr>
        <w:tblStyle w:val="TableGrid"/>
        <w:tblW w:type="auto" w:w="0"/>
        <w:jc w:val="center"/>
        <w:tblLook w:firstColumn="1" w:firstRow="1" w:lastColumn="0" w:lastRow="0" w:noHBand="0" w:noVBand="1" w:val="04A0"/>
      </w:tblPr>
      <w:tblGrid>
        <w:gridCol w:w="1271"/>
        <w:gridCol w:w="1271"/>
        <w:gridCol w:w="1271"/>
        <w:gridCol w:w="1271"/>
        <w:gridCol w:w="1271"/>
        <w:gridCol w:w="1271"/>
        <w:gridCol w:w="1271"/>
        <w:gridCol w:w="1271"/>
      </w:tblGrid>
      <w:tr>
        <w:tc>
          <w:tcPr>
            <w:tcW w:type="dxa" w:w="1271"/>
            <w:vAlign w:val="center"/>
            <w:shd w:fill="D9EAF7"/>
          </w:tcPr>
          <w:p>
            <w:r/>
            <w:r>
              <w:rPr>
                <w:rFonts w:ascii="Arial" w:hAnsi="Arial"/>
                <w:b/>
                <w:sz w:val="17"/>
              </w:rPr>
              <w:t>Batch ID</w:t>
            </w:r>
          </w:p>
        </w:tc>
        <w:tc>
          <w:tcPr>
            <w:tcW w:type="dxa" w:w="1271"/>
            <w:vAlign w:val="center"/>
            <w:shd w:fill="D9EAF7"/>
          </w:tcPr>
          <w:p>
            <w:r/>
            <w:r>
              <w:rPr>
                <w:rFonts w:ascii="Arial" w:hAnsi="Arial"/>
                <w:b/>
                <w:sz w:val="17"/>
              </w:rPr>
              <w:t>NP Type</w:t>
            </w:r>
          </w:p>
        </w:tc>
        <w:tc>
          <w:tcPr>
            <w:tcW w:type="dxa" w:w="1271"/>
            <w:vAlign w:val="center"/>
            <w:shd w:fill="D9EAF7"/>
          </w:tcPr>
          <w:p>
            <w:r/>
            <w:r>
              <w:rPr>
                <w:rFonts w:ascii="Arial" w:hAnsi="Arial"/>
                <w:b/>
                <w:sz w:val="17"/>
              </w:rPr>
              <w:t>Antibody</w:t>
            </w:r>
          </w:p>
        </w:tc>
        <w:tc>
          <w:tcPr>
            <w:tcW w:type="dxa" w:w="1271"/>
            <w:vAlign w:val="center"/>
            <w:shd w:fill="D9EAF7"/>
          </w:tcPr>
          <w:p>
            <w:r/>
            <w:r>
              <w:rPr>
                <w:rFonts w:ascii="Arial" w:hAnsi="Arial"/>
                <w:b/>
                <w:sz w:val="17"/>
              </w:rPr>
              <w:t>Antigen</w:t>
            </w:r>
          </w:p>
        </w:tc>
        <w:tc>
          <w:tcPr>
            <w:tcW w:type="dxa" w:w="1271"/>
            <w:vAlign w:val="center"/>
            <w:shd w:fill="D9EAF7"/>
          </w:tcPr>
          <w:p>
            <w:r/>
            <w:r>
              <w:rPr>
                <w:rFonts w:ascii="Arial" w:hAnsi="Arial"/>
                <w:b/>
                <w:sz w:val="17"/>
              </w:rPr>
              <w:t>Blocker</w:t>
            </w:r>
          </w:p>
        </w:tc>
        <w:tc>
          <w:tcPr>
            <w:tcW w:type="dxa" w:w="1271"/>
            <w:vAlign w:val="center"/>
            <w:shd w:fill="D9EAF7"/>
          </w:tcPr>
          <w:p>
            <w:r/>
            <w:r>
              <w:rPr>
                <w:rFonts w:ascii="Arial" w:hAnsi="Arial"/>
                <w:b/>
                <w:sz w:val="17"/>
              </w:rPr>
              <w:t>Incubation</w:t>
            </w:r>
          </w:p>
        </w:tc>
        <w:tc>
          <w:tcPr>
            <w:tcW w:type="dxa" w:w="1271"/>
            <w:vAlign w:val="center"/>
            <w:shd w:fill="D9EAF7"/>
          </w:tcPr>
          <w:p>
            <w:r/>
            <w:r>
              <w:rPr>
                <w:rFonts w:ascii="Arial" w:hAnsi="Arial"/>
                <w:b/>
                <w:sz w:val="17"/>
              </w:rPr>
              <w:t>Observation</w:t>
            </w:r>
          </w:p>
        </w:tc>
        <w:tc>
          <w:tcPr>
            <w:tcW w:type="dxa" w:w="1271"/>
            <w:vAlign w:val="center"/>
            <w:shd w:fill="D9EAF7"/>
          </w:tcPr>
          <w:p>
            <w:r/>
            <w:r>
              <w:rPr>
                <w:rFonts w:ascii="Arial" w:hAnsi="Arial"/>
                <w:b/>
                <w:sz w:val="17"/>
              </w:rPr>
              <w:t>Next Test</w:t>
            </w:r>
          </w:p>
        </w:tc>
      </w:tr>
      <w:tr>
        <w:tc>
          <w:tcPr>
            <w:tcW w:type="dxa" w:w="1271"/>
            <w:vAlign w:val="center"/>
          </w:tcPr>
          <w:p>
            <w:r/>
            <w:r>
              <w:rPr>
                <w:rFonts w:ascii="Arial" w:hAnsi="Arial"/>
                <w:b w:val="0"/>
                <w:sz w:val="17"/>
              </w:rPr>
              <w:t>AAN-01</w:t>
            </w:r>
          </w:p>
        </w:tc>
        <w:tc>
          <w:tcPr>
            <w:tcW w:type="dxa" w:w="1271"/>
            <w:vAlign w:val="center"/>
          </w:tcPr>
          <w:p>
            <w:r/>
            <w:r>
              <w:rPr>
                <w:rFonts w:ascii="Arial" w:hAnsi="Arial"/>
                <w:b w:val="0"/>
                <w:sz w:val="17"/>
              </w:rPr>
              <w:t>AuNP</w:t>
            </w:r>
          </w:p>
        </w:tc>
        <w:tc>
          <w:tcPr>
            <w:tcW w:type="dxa" w:w="1271"/>
            <w:vAlign w:val="center"/>
          </w:tcPr>
          <w:p>
            <w:r/>
            <w:r>
              <w:rPr>
                <w:rFonts w:ascii="Arial" w:hAnsi="Arial"/>
                <w:b w:val="0"/>
                <w:sz w:val="17"/>
              </w:rPr>
              <w:t>Ab-A</w:t>
            </w:r>
          </w:p>
        </w:tc>
        <w:tc>
          <w:tcPr>
            <w:tcW w:type="dxa" w:w="1271"/>
            <w:vAlign w:val="center"/>
          </w:tcPr>
          <w:p>
            <w:r/>
            <w:r>
              <w:rPr>
                <w:rFonts w:ascii="Arial" w:hAnsi="Arial"/>
                <w:b w:val="0"/>
                <w:sz w:val="17"/>
              </w:rPr>
              <w:t>Ag-A</w:t>
            </w:r>
          </w:p>
        </w:tc>
        <w:tc>
          <w:tcPr>
            <w:tcW w:type="dxa" w:w="1271"/>
            <w:vAlign w:val="center"/>
          </w:tcPr>
          <w:p>
            <w:r/>
            <w:r>
              <w:rPr>
                <w:rFonts w:ascii="Arial" w:hAnsi="Arial"/>
                <w:b w:val="0"/>
                <w:sz w:val="17"/>
              </w:rPr>
              <w:t>BSA</w:t>
            </w:r>
          </w:p>
        </w:tc>
        <w:tc>
          <w:tcPr>
            <w:tcW w:type="dxa" w:w="1271"/>
            <w:vAlign w:val="center"/>
          </w:tcPr>
          <w:p>
            <w:r/>
            <w:r>
              <w:rPr>
                <w:rFonts w:ascii="Arial" w:hAnsi="Arial"/>
                <w:b w:val="0"/>
                <w:sz w:val="17"/>
              </w:rPr>
              <w:t>30 min</w:t>
            </w:r>
          </w:p>
        </w:tc>
        <w:tc>
          <w:tcPr>
            <w:tcW w:type="dxa" w:w="1271"/>
            <w:vAlign w:val="center"/>
          </w:tcPr>
          <w:p>
            <w:r/>
            <w:r>
              <w:rPr>
                <w:rFonts w:ascii="Arial" w:hAnsi="Arial"/>
                <w:b w:val="0"/>
                <w:sz w:val="17"/>
              </w:rPr>
              <w:t>Stable red dispersion</w:t>
            </w:r>
          </w:p>
        </w:tc>
        <w:tc>
          <w:tcPr>
            <w:tcW w:type="dxa" w:w="1271"/>
            <w:vAlign w:val="center"/>
          </w:tcPr>
          <w:p>
            <w:r/>
            <w:r>
              <w:rPr>
                <w:rFonts w:ascii="Arial" w:hAnsi="Arial"/>
                <w:b w:val="0"/>
                <w:sz w:val="17"/>
              </w:rPr>
              <w:t>DLS / UV-Vis</w:t>
            </w:r>
          </w:p>
        </w:tc>
      </w:tr>
      <w:tr>
        <w:tc>
          <w:tcPr>
            <w:tcW w:type="dxa" w:w="1271"/>
            <w:vAlign w:val="center"/>
          </w:tcPr>
          <w:p>
            <w:r/>
            <w:r>
              <w:rPr>
                <w:rFonts w:ascii="Arial" w:hAnsi="Arial"/>
                <w:b w:val="0"/>
                <w:sz w:val="17"/>
              </w:rPr>
              <w:t>AAN-02</w:t>
            </w:r>
          </w:p>
        </w:tc>
        <w:tc>
          <w:tcPr>
            <w:tcW w:type="dxa" w:w="1271"/>
            <w:vAlign w:val="center"/>
          </w:tcPr>
          <w:p>
            <w:r/>
            <w:r>
              <w:rPr>
                <w:rFonts w:ascii="Arial" w:hAnsi="Arial"/>
                <w:b w:val="0"/>
                <w:sz w:val="17"/>
              </w:rPr>
              <w:t>AuNP</w:t>
            </w:r>
          </w:p>
        </w:tc>
        <w:tc>
          <w:tcPr>
            <w:tcW w:type="dxa" w:w="1271"/>
            <w:vAlign w:val="center"/>
          </w:tcPr>
          <w:p>
            <w:r/>
            <w:r>
              <w:rPr>
                <w:rFonts w:ascii="Arial" w:hAnsi="Arial"/>
                <w:b w:val="0"/>
                <w:sz w:val="17"/>
              </w:rPr>
              <w:t>Ab-A</w:t>
            </w:r>
          </w:p>
        </w:tc>
        <w:tc>
          <w:tcPr>
            <w:tcW w:type="dxa" w:w="1271"/>
            <w:vAlign w:val="center"/>
          </w:tcPr>
          <w:p>
            <w:r/>
            <w:r>
              <w:rPr>
                <w:rFonts w:ascii="Arial" w:hAnsi="Arial"/>
                <w:b w:val="0"/>
                <w:sz w:val="17"/>
              </w:rPr>
              <w:t>Ag-A</w:t>
            </w:r>
          </w:p>
        </w:tc>
        <w:tc>
          <w:tcPr>
            <w:tcW w:type="dxa" w:w="1271"/>
            <w:vAlign w:val="center"/>
          </w:tcPr>
          <w:p>
            <w:r/>
            <w:r>
              <w:rPr>
                <w:rFonts w:ascii="Arial" w:hAnsi="Arial"/>
                <w:b w:val="0"/>
                <w:sz w:val="17"/>
              </w:rPr>
              <w:t>Casein</w:t>
            </w:r>
          </w:p>
        </w:tc>
        <w:tc>
          <w:tcPr>
            <w:tcW w:type="dxa" w:w="1271"/>
            <w:vAlign w:val="center"/>
          </w:tcPr>
          <w:p>
            <w:r/>
            <w:r>
              <w:rPr>
                <w:rFonts w:ascii="Arial" w:hAnsi="Arial"/>
                <w:b w:val="0"/>
                <w:sz w:val="17"/>
              </w:rPr>
              <w:t>60 min</w:t>
            </w:r>
          </w:p>
        </w:tc>
        <w:tc>
          <w:tcPr>
            <w:tcW w:type="dxa" w:w="1271"/>
            <w:vAlign w:val="center"/>
          </w:tcPr>
          <w:p>
            <w:r/>
            <w:r>
              <w:rPr>
                <w:rFonts w:ascii="Arial" w:hAnsi="Arial"/>
                <w:b w:val="0"/>
                <w:sz w:val="17"/>
              </w:rPr>
              <w:t>Mild colour shift</w:t>
            </w:r>
          </w:p>
        </w:tc>
        <w:tc>
          <w:tcPr>
            <w:tcW w:type="dxa" w:w="1271"/>
            <w:vAlign w:val="center"/>
          </w:tcPr>
          <w:p>
            <w:r/>
            <w:r>
              <w:rPr>
                <w:rFonts w:ascii="Arial" w:hAnsi="Arial"/>
                <w:b w:val="0"/>
                <w:sz w:val="17"/>
              </w:rPr>
              <w:t>Binding assay</w:t>
            </w:r>
          </w:p>
        </w:tc>
      </w:tr>
      <w:tr>
        <w:tc>
          <w:tcPr>
            <w:tcW w:type="dxa" w:w="1271"/>
            <w:vAlign w:val="center"/>
          </w:tcPr>
          <w:p>
            <w:r/>
            <w:r>
              <w:rPr>
                <w:rFonts w:ascii="Arial" w:hAnsi="Arial"/>
                <w:b w:val="0"/>
                <w:sz w:val="17"/>
              </w:rPr>
              <w:t>AAN-03</w:t>
            </w:r>
          </w:p>
        </w:tc>
        <w:tc>
          <w:tcPr>
            <w:tcW w:type="dxa" w:w="1271"/>
            <w:vAlign w:val="center"/>
          </w:tcPr>
          <w:p>
            <w:r/>
            <w:r>
              <w:rPr>
                <w:rFonts w:ascii="Arial" w:hAnsi="Arial"/>
                <w:b w:val="0"/>
                <w:sz w:val="17"/>
              </w:rPr>
              <w:t>AgNP</w:t>
            </w:r>
          </w:p>
        </w:tc>
        <w:tc>
          <w:tcPr>
            <w:tcW w:type="dxa" w:w="1271"/>
            <w:vAlign w:val="center"/>
          </w:tcPr>
          <w:p>
            <w:r/>
            <w:r>
              <w:rPr>
                <w:rFonts w:ascii="Arial" w:hAnsi="Arial"/>
                <w:b w:val="0"/>
                <w:sz w:val="17"/>
              </w:rPr>
              <w:t>Ab-B</w:t>
            </w:r>
          </w:p>
        </w:tc>
        <w:tc>
          <w:tcPr>
            <w:tcW w:type="dxa" w:w="1271"/>
            <w:vAlign w:val="center"/>
          </w:tcPr>
          <w:p>
            <w:r/>
            <w:r>
              <w:rPr>
                <w:rFonts w:ascii="Arial" w:hAnsi="Arial"/>
                <w:b w:val="0"/>
                <w:sz w:val="17"/>
              </w:rPr>
              <w:t>Ag-B</w:t>
            </w:r>
          </w:p>
        </w:tc>
        <w:tc>
          <w:tcPr>
            <w:tcW w:type="dxa" w:w="1271"/>
            <w:vAlign w:val="center"/>
          </w:tcPr>
          <w:p>
            <w:r/>
            <w:r>
              <w:rPr>
                <w:rFonts w:ascii="Arial" w:hAnsi="Arial"/>
                <w:b w:val="0"/>
                <w:sz w:val="17"/>
              </w:rPr>
              <w:t>BSA</w:t>
            </w:r>
          </w:p>
        </w:tc>
        <w:tc>
          <w:tcPr>
            <w:tcW w:type="dxa" w:w="1271"/>
            <w:vAlign w:val="center"/>
          </w:tcPr>
          <w:p>
            <w:r/>
            <w:r>
              <w:rPr>
                <w:rFonts w:ascii="Arial" w:hAnsi="Arial"/>
                <w:b w:val="0"/>
                <w:sz w:val="17"/>
              </w:rPr>
              <w:t>45 min</w:t>
            </w:r>
          </w:p>
        </w:tc>
        <w:tc>
          <w:tcPr>
            <w:tcW w:type="dxa" w:w="1271"/>
            <w:vAlign w:val="center"/>
          </w:tcPr>
          <w:p>
            <w:r/>
            <w:r>
              <w:rPr>
                <w:rFonts w:ascii="Arial" w:hAnsi="Arial"/>
                <w:b w:val="0"/>
                <w:sz w:val="17"/>
              </w:rPr>
              <w:t>Slight sediment</w:t>
            </w:r>
          </w:p>
        </w:tc>
        <w:tc>
          <w:tcPr>
            <w:tcW w:type="dxa" w:w="1271"/>
            <w:vAlign w:val="center"/>
          </w:tcPr>
          <w:p>
            <w:r/>
            <w:r>
              <w:rPr>
                <w:rFonts w:ascii="Arial" w:hAnsi="Arial"/>
                <w:b w:val="0"/>
                <w:sz w:val="17"/>
              </w:rPr>
              <w:t>Optimize buffer</w:t>
            </w:r>
          </w:p>
        </w:tc>
      </w:tr>
      <w:tr>
        <w:tc>
          <w:tcPr>
            <w:tcW w:type="dxa" w:w="1271"/>
            <w:vAlign w:val="center"/>
          </w:tcPr>
          <w:p>
            <w:r/>
            <w:r>
              <w:rPr>
                <w:rFonts w:ascii="Arial" w:hAnsi="Arial"/>
                <w:b w:val="0"/>
                <w:sz w:val="17"/>
              </w:rPr>
              <w:t>AAN-04</w:t>
            </w:r>
          </w:p>
        </w:tc>
        <w:tc>
          <w:tcPr>
            <w:tcW w:type="dxa" w:w="1271"/>
            <w:vAlign w:val="center"/>
          </w:tcPr>
          <w:p>
            <w:r/>
            <w:r>
              <w:rPr>
                <w:rFonts w:ascii="Arial" w:hAnsi="Arial"/>
                <w:b w:val="0"/>
                <w:sz w:val="17"/>
              </w:rPr>
              <w:t>AuNP</w:t>
            </w:r>
          </w:p>
        </w:tc>
        <w:tc>
          <w:tcPr>
            <w:tcW w:type="dxa" w:w="1271"/>
            <w:vAlign w:val="center"/>
          </w:tcPr>
          <w:p>
            <w:r/>
            <w:r>
              <w:rPr>
                <w:rFonts w:ascii="Arial" w:hAnsi="Arial"/>
                <w:b w:val="0"/>
                <w:sz w:val="17"/>
              </w:rPr>
              <w:t>Ab-A</w:t>
            </w:r>
          </w:p>
        </w:tc>
        <w:tc>
          <w:tcPr>
            <w:tcW w:type="dxa" w:w="1271"/>
            <w:vAlign w:val="center"/>
          </w:tcPr>
          <w:p>
            <w:r/>
            <w:r>
              <w:rPr>
                <w:rFonts w:ascii="Arial" w:hAnsi="Arial"/>
                <w:b w:val="0"/>
                <w:sz w:val="17"/>
              </w:rPr>
              <w:t>Non-target antigen</w:t>
            </w:r>
          </w:p>
        </w:tc>
        <w:tc>
          <w:tcPr>
            <w:tcW w:type="dxa" w:w="1271"/>
            <w:vAlign w:val="center"/>
          </w:tcPr>
          <w:p>
            <w:r/>
            <w:r>
              <w:rPr>
                <w:rFonts w:ascii="Arial" w:hAnsi="Arial"/>
                <w:b w:val="0"/>
                <w:sz w:val="17"/>
              </w:rPr>
              <w:t>BSA</w:t>
            </w:r>
          </w:p>
        </w:tc>
        <w:tc>
          <w:tcPr>
            <w:tcW w:type="dxa" w:w="1271"/>
            <w:vAlign w:val="center"/>
          </w:tcPr>
          <w:p>
            <w:r/>
            <w:r>
              <w:rPr>
                <w:rFonts w:ascii="Arial" w:hAnsi="Arial"/>
                <w:b w:val="0"/>
                <w:sz w:val="17"/>
              </w:rPr>
              <w:t>30 min</w:t>
            </w:r>
          </w:p>
        </w:tc>
        <w:tc>
          <w:tcPr>
            <w:tcW w:type="dxa" w:w="1271"/>
            <w:vAlign w:val="center"/>
          </w:tcPr>
          <w:p>
            <w:r/>
            <w:r>
              <w:rPr>
                <w:rFonts w:ascii="Arial" w:hAnsi="Arial"/>
                <w:b w:val="0"/>
                <w:sz w:val="17"/>
              </w:rPr>
              <w:t>No visible change</w:t>
            </w:r>
          </w:p>
        </w:tc>
        <w:tc>
          <w:tcPr>
            <w:tcW w:type="dxa" w:w="1271"/>
            <w:vAlign w:val="center"/>
          </w:tcPr>
          <w:p>
            <w:r/>
            <w:r>
              <w:rPr>
                <w:rFonts w:ascii="Arial" w:hAnsi="Arial"/>
                <w:b w:val="0"/>
                <w:sz w:val="17"/>
              </w:rPr>
              <w:t>Specificity control</w:t>
            </w:r>
          </w:p>
        </w:tc>
      </w:tr>
    </w:tbl>
    <w:p/>
    <w:p>
      <w:pPr>
        <w:pStyle w:val="Heading1"/>
      </w:pPr>
      <w:r>
        <w:rPr>
          <w:rFonts w:ascii="Arial" w:hAnsi="Arial"/>
        </w:rPr>
        <w:t>13. Control Experiments</w:t>
      </w:r>
    </w:p>
    <w:p>
      <w:pPr>
        <w:spacing w:after="100"/>
        <w:jc w:val="both"/>
      </w:pPr>
      <w:r>
        <w:rPr>
          <w:rFonts w:ascii="Arial" w:hAnsi="Arial"/>
          <w:sz w:val="20"/>
        </w:rPr>
        <w:t>Controls are very important in antigen-antibody nanomaterial studies. Without controls, aggregation or non-specific adsorption may be mistaken for successful antigen recognition.</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Control</w:t>
            </w:r>
          </w:p>
        </w:tc>
        <w:tc>
          <w:tcPr>
            <w:tcW w:type="dxa" w:w="5083"/>
            <w:vAlign w:val="center"/>
            <w:shd w:fill="D9EAF7"/>
          </w:tcPr>
          <w:p>
            <w:r/>
            <w:r>
              <w:rPr>
                <w:rFonts w:ascii="Arial" w:hAnsi="Arial"/>
                <w:b/>
                <w:sz w:val="17"/>
              </w:rPr>
              <w:t>Purpose</w:t>
            </w:r>
          </w:p>
        </w:tc>
      </w:tr>
      <w:tr>
        <w:tc>
          <w:tcPr>
            <w:tcW w:type="dxa" w:w="5083"/>
            <w:vAlign w:val="center"/>
          </w:tcPr>
          <w:p>
            <w:r/>
            <w:r>
              <w:rPr>
                <w:rFonts w:ascii="Arial" w:hAnsi="Arial"/>
                <w:b w:val="0"/>
                <w:sz w:val="17"/>
              </w:rPr>
              <w:t>Nanoparticle only</w:t>
            </w:r>
          </w:p>
        </w:tc>
        <w:tc>
          <w:tcPr>
            <w:tcW w:type="dxa" w:w="5083"/>
            <w:vAlign w:val="center"/>
          </w:tcPr>
          <w:p>
            <w:r/>
            <w:r>
              <w:rPr>
                <w:rFonts w:ascii="Arial" w:hAnsi="Arial"/>
                <w:b w:val="0"/>
                <w:sz w:val="17"/>
              </w:rPr>
              <w:t>Checks baseline particle stability</w:t>
            </w:r>
          </w:p>
        </w:tc>
      </w:tr>
      <w:tr>
        <w:tc>
          <w:tcPr>
            <w:tcW w:type="dxa" w:w="5083"/>
            <w:vAlign w:val="center"/>
          </w:tcPr>
          <w:p>
            <w:r/>
            <w:r>
              <w:rPr>
                <w:rFonts w:ascii="Arial" w:hAnsi="Arial"/>
                <w:b w:val="0"/>
                <w:sz w:val="17"/>
              </w:rPr>
              <w:t>Nanoparticle + antibody without antigen</w:t>
            </w:r>
          </w:p>
        </w:tc>
        <w:tc>
          <w:tcPr>
            <w:tcW w:type="dxa" w:w="5083"/>
            <w:vAlign w:val="center"/>
          </w:tcPr>
          <w:p>
            <w:r/>
            <w:r>
              <w:rPr>
                <w:rFonts w:ascii="Arial" w:hAnsi="Arial"/>
                <w:b w:val="0"/>
                <w:sz w:val="17"/>
              </w:rPr>
              <w:t>Checks antibody-associated particle stability</w:t>
            </w:r>
          </w:p>
        </w:tc>
      </w:tr>
      <w:tr>
        <w:tc>
          <w:tcPr>
            <w:tcW w:type="dxa" w:w="5083"/>
            <w:vAlign w:val="center"/>
          </w:tcPr>
          <w:p>
            <w:r/>
            <w:r>
              <w:rPr>
                <w:rFonts w:ascii="Arial" w:hAnsi="Arial"/>
                <w:b w:val="0"/>
                <w:sz w:val="17"/>
              </w:rPr>
              <w:t>Nanoparticle + antigen without antibody</w:t>
            </w:r>
          </w:p>
        </w:tc>
        <w:tc>
          <w:tcPr>
            <w:tcW w:type="dxa" w:w="5083"/>
            <w:vAlign w:val="center"/>
          </w:tcPr>
          <w:p>
            <w:r/>
            <w:r>
              <w:rPr>
                <w:rFonts w:ascii="Arial" w:hAnsi="Arial"/>
                <w:b w:val="0"/>
                <w:sz w:val="17"/>
              </w:rPr>
              <w:t>Checks non-specific antigen adsorption</w:t>
            </w:r>
          </w:p>
        </w:tc>
      </w:tr>
      <w:tr>
        <w:tc>
          <w:tcPr>
            <w:tcW w:type="dxa" w:w="5083"/>
            <w:vAlign w:val="center"/>
          </w:tcPr>
          <w:p>
            <w:r/>
            <w:r>
              <w:rPr>
                <w:rFonts w:ascii="Arial" w:hAnsi="Arial"/>
                <w:b w:val="0"/>
                <w:sz w:val="17"/>
              </w:rPr>
              <w:t>Nanoparticle + antibody + non-target antigen</w:t>
            </w:r>
          </w:p>
        </w:tc>
        <w:tc>
          <w:tcPr>
            <w:tcW w:type="dxa" w:w="5083"/>
            <w:vAlign w:val="center"/>
          </w:tcPr>
          <w:p>
            <w:r/>
            <w:r>
              <w:rPr>
                <w:rFonts w:ascii="Arial" w:hAnsi="Arial"/>
                <w:b w:val="0"/>
                <w:sz w:val="17"/>
              </w:rPr>
              <w:t>Checks specificity and cross-reactivity</w:t>
            </w:r>
          </w:p>
        </w:tc>
      </w:tr>
      <w:tr>
        <w:tc>
          <w:tcPr>
            <w:tcW w:type="dxa" w:w="5083"/>
            <w:vAlign w:val="center"/>
          </w:tcPr>
          <w:p>
            <w:r/>
            <w:r>
              <w:rPr>
                <w:rFonts w:ascii="Arial" w:hAnsi="Arial"/>
                <w:b w:val="0"/>
                <w:sz w:val="17"/>
              </w:rPr>
              <w:t>Buffer-only control</w:t>
            </w:r>
          </w:p>
        </w:tc>
        <w:tc>
          <w:tcPr>
            <w:tcW w:type="dxa" w:w="5083"/>
            <w:vAlign w:val="center"/>
          </w:tcPr>
          <w:p>
            <w:r/>
            <w:r>
              <w:rPr>
                <w:rFonts w:ascii="Arial" w:hAnsi="Arial"/>
                <w:b w:val="0"/>
                <w:sz w:val="17"/>
              </w:rPr>
              <w:t>Checks reagent background</w:t>
            </w:r>
          </w:p>
        </w:tc>
      </w:tr>
      <w:tr>
        <w:tc>
          <w:tcPr>
            <w:tcW w:type="dxa" w:w="5083"/>
            <w:vAlign w:val="center"/>
          </w:tcPr>
          <w:p>
            <w:r/>
            <w:r>
              <w:rPr>
                <w:rFonts w:ascii="Arial" w:hAnsi="Arial"/>
                <w:b w:val="0"/>
                <w:sz w:val="17"/>
              </w:rPr>
              <w:t>Blocked nanoparticle control</w:t>
            </w:r>
          </w:p>
        </w:tc>
        <w:tc>
          <w:tcPr>
            <w:tcW w:type="dxa" w:w="5083"/>
            <w:vAlign w:val="center"/>
          </w:tcPr>
          <w:p>
            <w:r/>
            <w:r>
              <w:rPr>
                <w:rFonts w:ascii="Arial" w:hAnsi="Arial"/>
                <w:b w:val="0"/>
                <w:sz w:val="17"/>
              </w:rPr>
              <w:t>Evaluates effect of blocking agent</w:t>
            </w:r>
          </w:p>
        </w:tc>
      </w:tr>
      <w:tr>
        <w:tc>
          <w:tcPr>
            <w:tcW w:type="dxa" w:w="5083"/>
            <w:vAlign w:val="center"/>
          </w:tcPr>
          <w:p>
            <w:r/>
            <w:r>
              <w:rPr>
                <w:rFonts w:ascii="Arial" w:hAnsi="Arial"/>
                <w:b w:val="0"/>
                <w:sz w:val="17"/>
              </w:rPr>
              <w:t>Positive antigen control</w:t>
            </w:r>
          </w:p>
        </w:tc>
        <w:tc>
          <w:tcPr>
            <w:tcW w:type="dxa" w:w="5083"/>
            <w:vAlign w:val="center"/>
          </w:tcPr>
          <w:p>
            <w:r/>
            <w:r>
              <w:rPr>
                <w:rFonts w:ascii="Arial" w:hAnsi="Arial"/>
                <w:b w:val="0"/>
                <w:sz w:val="17"/>
              </w:rPr>
              <w:t>Confirms expected recognition system works</w:t>
            </w:r>
          </w:p>
        </w:tc>
      </w:tr>
    </w:tbl>
    <w:p/>
    <w:p>
      <w:pPr>
        <w:pStyle w:val="Heading1"/>
      </w:pPr>
      <w:r>
        <w:rPr>
          <w:rFonts w:ascii="Arial" w:hAnsi="Arial"/>
        </w:rPr>
        <w:t>14. Webinar Explanation Strategy</w:t>
      </w:r>
    </w:p>
    <w:p>
      <w:pPr>
        <w:spacing w:after="100"/>
        <w:jc w:val="both"/>
      </w:pPr>
      <w:r>
        <w:rPr>
          <w:rFonts w:ascii="Arial" w:hAnsi="Arial"/>
          <w:sz w:val="20"/>
        </w:rPr>
        <w:t>For webinar presentation, this protocol can be explained as a model that connects immunology with nanotechnology. The simplest explanation is: a nanoparticle is first prepared as a material support, an antibody is added to give recognition ability, and then an antigen is introduced to form a target-specific complex. Protoly organizes the steps, and NSL supports the preparation stage, but proof of binding is done separately.</w:t>
      </w:r>
    </w:p>
    <w:p>
      <w:pPr>
        <w:spacing w:after="100"/>
        <w:jc w:val="both"/>
      </w:pPr>
      <w:r>
        <w:rPr>
          <w:rFonts w:ascii="Arial" w:hAnsi="Arial"/>
          <w:sz w:val="20"/>
        </w:rPr>
        <w:t>A clear webinar message could be: This workflow shows how an antigen-antibody recognition experiment can be converted into a structured protocol. The machine can help with addition, mixing, incubation, and visual recording, while scientific validation such as binding specificity and assay performance is performed offline.</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Slide Topic</w:t>
            </w:r>
          </w:p>
        </w:tc>
        <w:tc>
          <w:tcPr>
            <w:tcW w:type="dxa" w:w="5083"/>
            <w:vAlign w:val="center"/>
            <w:shd w:fill="D9EAF7"/>
          </w:tcPr>
          <w:p>
            <w:r/>
            <w:r>
              <w:rPr>
                <w:rFonts w:ascii="Arial" w:hAnsi="Arial"/>
                <w:b/>
                <w:sz w:val="17"/>
              </w:rPr>
              <w:t>Key Message</w:t>
            </w:r>
          </w:p>
        </w:tc>
      </w:tr>
      <w:tr>
        <w:tc>
          <w:tcPr>
            <w:tcW w:type="dxa" w:w="5083"/>
            <w:vAlign w:val="center"/>
          </w:tcPr>
          <w:p>
            <w:r/>
            <w:r>
              <w:rPr>
                <w:rFonts w:ascii="Arial" w:hAnsi="Arial"/>
                <w:b w:val="0"/>
                <w:sz w:val="17"/>
              </w:rPr>
              <w:t>What is antigen-antibody recognition?</w:t>
            </w:r>
          </w:p>
        </w:tc>
        <w:tc>
          <w:tcPr>
            <w:tcW w:type="dxa" w:w="5083"/>
            <w:vAlign w:val="center"/>
          </w:tcPr>
          <w:p>
            <w:r/>
            <w:r>
              <w:rPr>
                <w:rFonts w:ascii="Arial" w:hAnsi="Arial"/>
                <w:b w:val="0"/>
                <w:sz w:val="17"/>
              </w:rPr>
              <w:t>A specific biomolecular binding interaction</w:t>
            </w:r>
          </w:p>
        </w:tc>
      </w:tr>
      <w:tr>
        <w:tc>
          <w:tcPr>
            <w:tcW w:type="dxa" w:w="5083"/>
            <w:vAlign w:val="center"/>
          </w:tcPr>
          <w:p>
            <w:r/>
            <w:r>
              <w:rPr>
                <w:rFonts w:ascii="Arial" w:hAnsi="Arial"/>
                <w:b w:val="0"/>
                <w:sz w:val="17"/>
              </w:rPr>
              <w:t>Why add nanoparticles?</w:t>
            </w:r>
          </w:p>
        </w:tc>
        <w:tc>
          <w:tcPr>
            <w:tcW w:type="dxa" w:w="5083"/>
            <w:vAlign w:val="center"/>
          </w:tcPr>
          <w:p>
            <w:r/>
            <w:r>
              <w:rPr>
                <w:rFonts w:ascii="Arial" w:hAnsi="Arial"/>
                <w:b w:val="0"/>
                <w:sz w:val="17"/>
              </w:rPr>
              <w:t>They provide a material support or signal-related platform</w:t>
            </w:r>
          </w:p>
        </w:tc>
      </w:tr>
      <w:tr>
        <w:tc>
          <w:tcPr>
            <w:tcW w:type="dxa" w:w="5083"/>
            <w:vAlign w:val="center"/>
          </w:tcPr>
          <w:p>
            <w:r/>
            <w:r>
              <w:rPr>
                <w:rFonts w:ascii="Arial" w:hAnsi="Arial"/>
                <w:b w:val="0"/>
                <w:sz w:val="17"/>
              </w:rPr>
              <w:t>What does Protoly do?</w:t>
            </w:r>
          </w:p>
        </w:tc>
        <w:tc>
          <w:tcPr>
            <w:tcW w:type="dxa" w:w="5083"/>
            <w:vAlign w:val="center"/>
          </w:tcPr>
          <w:p>
            <w:r/>
            <w:r>
              <w:rPr>
                <w:rFonts w:ascii="Arial" w:hAnsi="Arial"/>
                <w:b w:val="0"/>
                <w:sz w:val="17"/>
              </w:rPr>
              <w:t>Converts the method into structured steps</w:t>
            </w:r>
          </w:p>
        </w:tc>
      </w:tr>
      <w:tr>
        <w:tc>
          <w:tcPr>
            <w:tcW w:type="dxa" w:w="5083"/>
            <w:vAlign w:val="center"/>
          </w:tcPr>
          <w:p>
            <w:r/>
            <w:r>
              <w:rPr>
                <w:rFonts w:ascii="Arial" w:hAnsi="Arial"/>
                <w:b w:val="0"/>
                <w:sz w:val="17"/>
              </w:rPr>
              <w:t>What does NSL support?</w:t>
            </w:r>
          </w:p>
        </w:tc>
        <w:tc>
          <w:tcPr>
            <w:tcW w:type="dxa" w:w="5083"/>
            <w:vAlign w:val="center"/>
          </w:tcPr>
          <w:p>
            <w:r/>
            <w:r>
              <w:rPr>
                <w:rFonts w:ascii="Arial" w:hAnsi="Arial"/>
                <w:b w:val="0"/>
                <w:sz w:val="17"/>
              </w:rPr>
              <w:t>Dispensing, gentle mixing, waiting, illumination, and documentation</w:t>
            </w:r>
          </w:p>
        </w:tc>
      </w:tr>
      <w:tr>
        <w:tc>
          <w:tcPr>
            <w:tcW w:type="dxa" w:w="5083"/>
            <w:vAlign w:val="center"/>
          </w:tcPr>
          <w:p>
            <w:r/>
            <w:r>
              <w:rPr>
                <w:rFonts w:ascii="Arial" w:hAnsi="Arial"/>
                <w:b w:val="0"/>
                <w:sz w:val="17"/>
              </w:rPr>
              <w:t>What remains external?</w:t>
            </w:r>
          </w:p>
        </w:tc>
        <w:tc>
          <w:tcPr>
            <w:tcW w:type="dxa" w:w="5083"/>
            <w:vAlign w:val="center"/>
          </w:tcPr>
          <w:p>
            <w:r/>
            <w:r>
              <w:rPr>
                <w:rFonts w:ascii="Arial" w:hAnsi="Arial"/>
                <w:b w:val="0"/>
                <w:sz w:val="17"/>
              </w:rPr>
              <w:t>Binding validation, size/charge analysis, specificity, and assay readout</w:t>
            </w:r>
          </w:p>
        </w:tc>
      </w:tr>
      <w:tr>
        <w:tc>
          <w:tcPr>
            <w:tcW w:type="dxa" w:w="5083"/>
            <w:vAlign w:val="center"/>
          </w:tcPr>
          <w:p>
            <w:r/>
            <w:r>
              <w:rPr>
                <w:rFonts w:ascii="Arial" w:hAnsi="Arial"/>
                <w:b w:val="0"/>
                <w:sz w:val="17"/>
              </w:rPr>
              <w:t>What is the final output?</w:t>
            </w:r>
          </w:p>
        </w:tc>
        <w:tc>
          <w:tcPr>
            <w:tcW w:type="dxa" w:w="5083"/>
            <w:vAlign w:val="center"/>
          </w:tcPr>
          <w:p>
            <w:r/>
            <w:r>
              <w:rPr>
                <w:rFonts w:ascii="Arial" w:hAnsi="Arial"/>
                <w:b w:val="0"/>
                <w:sz w:val="17"/>
              </w:rPr>
              <w:t>A research-scale complex candidate for downstream testing</w:t>
            </w:r>
          </w:p>
        </w:tc>
      </w:tr>
    </w:tbl>
    <w:p/>
    <w:p>
      <w:pPr>
        <w:pStyle w:val="Heading1"/>
      </w:pPr>
      <w:r>
        <w:rPr>
          <w:rFonts w:ascii="Arial" w:hAnsi="Arial"/>
        </w:rPr>
        <w:t>15. Safety and Handling Considerations</w:t>
      </w:r>
    </w:p>
    <w:p>
      <w:pPr>
        <w:pStyle w:val="ListBullet"/>
        <w:spacing w:after="40"/>
      </w:pPr>
      <w:r>
        <w:rPr>
          <w:rFonts w:ascii="Arial" w:hAnsi="Arial"/>
          <w:sz w:val="20"/>
        </w:rPr>
        <w:t>Use safe model antigen-antibody systems for training and webinar demonstrations.</w:t>
      </w:r>
    </w:p>
    <w:p>
      <w:pPr>
        <w:pStyle w:val="ListBullet"/>
        <w:spacing w:after="40"/>
      </w:pPr>
      <w:r>
        <w:rPr>
          <w:rFonts w:ascii="Arial" w:hAnsi="Arial"/>
          <w:sz w:val="20"/>
        </w:rPr>
        <w:t>Avoid pathogenic, infectious, or human clinical samples unless proper biosafety approvals and facilities are available.</w:t>
      </w:r>
    </w:p>
    <w:p>
      <w:pPr>
        <w:pStyle w:val="ListBullet"/>
        <w:spacing w:after="40"/>
      </w:pPr>
      <w:r>
        <w:rPr>
          <w:rFonts w:ascii="Arial" w:hAnsi="Arial"/>
          <w:sz w:val="20"/>
        </w:rPr>
        <w:t>Handle nanoparticle dispersions carefully and avoid inhalation, ingestion, or direct skin contact.</w:t>
      </w:r>
    </w:p>
    <w:p>
      <w:pPr>
        <w:pStyle w:val="ListBullet"/>
        <w:spacing w:after="40"/>
      </w:pPr>
      <w:r>
        <w:rPr>
          <w:rFonts w:ascii="Arial" w:hAnsi="Arial"/>
          <w:sz w:val="20"/>
        </w:rPr>
        <w:t>Use gloves, lab coat, and eye protection during preparation and sample handling.</w:t>
      </w:r>
    </w:p>
    <w:p>
      <w:pPr>
        <w:pStyle w:val="ListBullet"/>
        <w:spacing w:after="40"/>
      </w:pPr>
      <w:r>
        <w:rPr>
          <w:rFonts w:ascii="Arial" w:hAnsi="Arial"/>
          <w:sz w:val="20"/>
        </w:rPr>
        <w:t>Do not expose antibodies or antigens to unnecessary heat, harsh pH, or aggressive sonication.</w:t>
      </w:r>
    </w:p>
    <w:p>
      <w:pPr>
        <w:pStyle w:val="ListBullet"/>
        <w:spacing w:after="40"/>
      </w:pPr>
      <w:r>
        <w:rPr>
          <w:rFonts w:ascii="Arial" w:hAnsi="Arial"/>
          <w:sz w:val="20"/>
        </w:rPr>
        <w:t>Label all samples clearly with batch ID, antigen, antibody, nanoparticle type, and date.</w:t>
      </w:r>
    </w:p>
    <w:p>
      <w:pPr>
        <w:pStyle w:val="ListBullet"/>
        <w:spacing w:after="40"/>
      </w:pPr>
      <w:r>
        <w:rPr>
          <w:rFonts w:ascii="Arial" w:hAnsi="Arial"/>
          <w:sz w:val="20"/>
        </w:rPr>
        <w:t>Dispose of nanoparticle and biomolecule waste according to laboratory safety requirements.</w:t>
      </w:r>
    </w:p>
    <w:p>
      <w:pPr>
        <w:pStyle w:val="ListBullet"/>
        <w:spacing w:after="40"/>
      </w:pPr>
      <w:r>
        <w:rPr>
          <w:rFonts w:ascii="Arial" w:hAnsi="Arial"/>
          <w:sz w:val="20"/>
        </w:rPr>
        <w:t>Do not present the complex as a diagnostic product without full validation.</w:t>
      </w:r>
    </w:p>
    <w:p>
      <w:pPr>
        <w:pStyle w:val="Heading1"/>
      </w:pPr>
      <w:r>
        <w:rPr>
          <w:rFonts w:ascii="Arial" w:hAnsi="Arial"/>
        </w:rPr>
        <w:t>16. Limitations</w:t>
      </w:r>
    </w:p>
    <w:p>
      <w:pPr>
        <w:spacing w:after="100"/>
        <w:jc w:val="both"/>
      </w:pPr>
      <w:r>
        <w:rPr>
          <w:rFonts w:ascii="Arial" w:hAnsi="Arial"/>
          <w:sz w:val="20"/>
        </w:rPr>
        <w:t>The protocol has a defined preparation scope. It does not automatically prove that antigen-antibody binding occurred, and it does not establish diagnostic performance. The final complex should be treated as a candidate system requiring further validation.</w:t>
      </w:r>
    </w:p>
    <w:p>
      <w:pPr>
        <w:pStyle w:val="ListBullet"/>
        <w:spacing w:after="40"/>
      </w:pPr>
      <w:r>
        <w:rPr>
          <w:rFonts w:ascii="Arial" w:hAnsi="Arial"/>
          <w:sz w:val="20"/>
        </w:rPr>
        <w:t>It does not confirm antibody attachment efficiency by itself.</w:t>
      </w:r>
    </w:p>
    <w:p>
      <w:pPr>
        <w:pStyle w:val="ListBullet"/>
        <w:spacing w:after="40"/>
      </w:pPr>
      <w:r>
        <w:rPr>
          <w:rFonts w:ascii="Arial" w:hAnsi="Arial"/>
          <w:sz w:val="20"/>
        </w:rPr>
        <w:t>It does not confirm antigen binding specificity by itself.</w:t>
      </w:r>
    </w:p>
    <w:p>
      <w:pPr>
        <w:pStyle w:val="ListBullet"/>
        <w:spacing w:after="40"/>
      </w:pPr>
      <w:r>
        <w:rPr>
          <w:rFonts w:ascii="Arial" w:hAnsi="Arial"/>
          <w:sz w:val="20"/>
        </w:rPr>
        <w:t>It does not measure affinity or binding kinetics.</w:t>
      </w:r>
    </w:p>
    <w:p>
      <w:pPr>
        <w:pStyle w:val="ListBullet"/>
        <w:spacing w:after="40"/>
      </w:pPr>
      <w:r>
        <w:rPr>
          <w:rFonts w:ascii="Arial" w:hAnsi="Arial"/>
          <w:sz w:val="20"/>
        </w:rPr>
        <w:t>It does not measure nanoparticle size or surface charge automatically.</w:t>
      </w:r>
    </w:p>
    <w:p>
      <w:pPr>
        <w:pStyle w:val="ListBullet"/>
        <w:spacing w:after="40"/>
      </w:pPr>
      <w:r>
        <w:rPr>
          <w:rFonts w:ascii="Arial" w:hAnsi="Arial"/>
          <w:sz w:val="20"/>
        </w:rPr>
        <w:t>It does not include validated washing or purification efficiency.</w:t>
      </w:r>
    </w:p>
    <w:p>
      <w:pPr>
        <w:pStyle w:val="ListBullet"/>
        <w:spacing w:after="40"/>
      </w:pPr>
      <w:r>
        <w:rPr>
          <w:rFonts w:ascii="Arial" w:hAnsi="Arial"/>
          <w:sz w:val="20"/>
        </w:rPr>
        <w:t>It does not establish diagnostic sensitivity or limit of detection.</w:t>
      </w:r>
    </w:p>
    <w:p>
      <w:pPr>
        <w:pStyle w:val="ListBullet"/>
        <w:spacing w:after="40"/>
      </w:pPr>
      <w:r>
        <w:rPr>
          <w:rFonts w:ascii="Arial" w:hAnsi="Arial"/>
          <w:sz w:val="20"/>
        </w:rPr>
        <w:t>It does not prove clinical, regulatory, or commercial suitability.</w:t>
      </w:r>
    </w:p>
    <w:p>
      <w:pPr>
        <w:pStyle w:val="ListBullet"/>
        <w:spacing w:after="40"/>
      </w:pPr>
      <w:r>
        <w:rPr>
          <w:rFonts w:ascii="Arial" w:hAnsi="Arial"/>
          <w:sz w:val="20"/>
        </w:rPr>
        <w:t>It does not replace immunoassay validation, biological safety testing, or quality control.</w:t>
      </w:r>
    </w:p>
    <w:p>
      <w:pPr>
        <w:pStyle w:val="Heading1"/>
      </w:pPr>
      <w:r>
        <w:rPr>
          <w:rFonts w:ascii="Arial" w:hAnsi="Arial"/>
        </w:rPr>
        <w:t>17. Future Development Possibilities</w:t>
      </w:r>
    </w:p>
    <w:tbl>
      <w:tblPr>
        <w:tblStyle w:val="TableGrid"/>
        <w:tblW w:type="auto" w:w="0"/>
        <w:jc w:val="center"/>
        <w:tblLook w:firstColumn="1" w:firstRow="1" w:lastColumn="0" w:lastRow="0" w:noHBand="0" w:noVBand="1" w:val="04A0"/>
      </w:tblPr>
      <w:tblGrid>
        <w:gridCol w:w="5083"/>
        <w:gridCol w:w="5083"/>
      </w:tblGrid>
      <w:tr>
        <w:tc>
          <w:tcPr>
            <w:tcW w:type="dxa" w:w="5083"/>
            <w:vAlign w:val="center"/>
            <w:shd w:fill="D9EAF7"/>
          </w:tcPr>
          <w:p>
            <w:r/>
            <w:r>
              <w:rPr>
                <w:rFonts w:ascii="Arial" w:hAnsi="Arial"/>
                <w:b/>
                <w:sz w:val="17"/>
              </w:rPr>
              <w:t>Future Extension</w:t>
            </w:r>
          </w:p>
        </w:tc>
        <w:tc>
          <w:tcPr>
            <w:tcW w:type="dxa" w:w="5083"/>
            <w:vAlign w:val="center"/>
            <w:shd w:fill="D9EAF7"/>
          </w:tcPr>
          <w:p>
            <w:r/>
            <w:r>
              <w:rPr>
                <w:rFonts w:ascii="Arial" w:hAnsi="Arial"/>
                <w:b/>
                <w:sz w:val="17"/>
              </w:rPr>
              <w:t>Purpose</w:t>
            </w:r>
          </w:p>
        </w:tc>
      </w:tr>
      <w:tr>
        <w:tc>
          <w:tcPr>
            <w:tcW w:type="dxa" w:w="5083"/>
            <w:vAlign w:val="center"/>
          </w:tcPr>
          <w:p>
            <w:r/>
            <w:r>
              <w:rPr>
                <w:rFonts w:ascii="Arial" w:hAnsi="Arial"/>
                <w:b w:val="0"/>
                <w:sz w:val="17"/>
              </w:rPr>
              <w:t>Antibody concentration optimization</w:t>
            </w:r>
          </w:p>
        </w:tc>
        <w:tc>
          <w:tcPr>
            <w:tcW w:type="dxa" w:w="5083"/>
            <w:vAlign w:val="center"/>
          </w:tcPr>
          <w:p>
            <w:r/>
            <w:r>
              <w:rPr>
                <w:rFonts w:ascii="Arial" w:hAnsi="Arial"/>
                <w:b w:val="0"/>
                <w:sz w:val="17"/>
              </w:rPr>
              <w:t>Identify suitable surface coverage and stability window</w:t>
            </w:r>
          </w:p>
        </w:tc>
      </w:tr>
      <w:tr>
        <w:tc>
          <w:tcPr>
            <w:tcW w:type="dxa" w:w="5083"/>
            <w:vAlign w:val="center"/>
          </w:tcPr>
          <w:p>
            <w:r/>
            <w:r>
              <w:rPr>
                <w:rFonts w:ascii="Arial" w:hAnsi="Arial"/>
                <w:b w:val="0"/>
                <w:sz w:val="17"/>
              </w:rPr>
              <w:t>Antigen dose-response study</w:t>
            </w:r>
          </w:p>
        </w:tc>
        <w:tc>
          <w:tcPr>
            <w:tcW w:type="dxa" w:w="5083"/>
            <w:vAlign w:val="center"/>
          </w:tcPr>
          <w:p>
            <w:r/>
            <w:r>
              <w:rPr>
                <w:rFonts w:ascii="Arial" w:hAnsi="Arial"/>
                <w:b w:val="0"/>
                <w:sz w:val="17"/>
              </w:rPr>
              <w:t>Build a preliminary response curve</w:t>
            </w:r>
          </w:p>
        </w:tc>
      </w:tr>
      <w:tr>
        <w:tc>
          <w:tcPr>
            <w:tcW w:type="dxa" w:w="5083"/>
            <w:vAlign w:val="center"/>
          </w:tcPr>
          <w:p>
            <w:r/>
            <w:r>
              <w:rPr>
                <w:rFonts w:ascii="Arial" w:hAnsi="Arial"/>
                <w:b w:val="0"/>
                <w:sz w:val="17"/>
              </w:rPr>
              <w:t>Blocking-agent comparison</w:t>
            </w:r>
          </w:p>
        </w:tc>
        <w:tc>
          <w:tcPr>
            <w:tcW w:type="dxa" w:w="5083"/>
            <w:vAlign w:val="center"/>
          </w:tcPr>
          <w:p>
            <w:r/>
            <w:r>
              <w:rPr>
                <w:rFonts w:ascii="Arial" w:hAnsi="Arial"/>
                <w:b w:val="0"/>
                <w:sz w:val="17"/>
              </w:rPr>
              <w:t>Reduce non-specific interaction</w:t>
            </w:r>
          </w:p>
        </w:tc>
      </w:tr>
      <w:tr>
        <w:tc>
          <w:tcPr>
            <w:tcW w:type="dxa" w:w="5083"/>
            <w:vAlign w:val="center"/>
          </w:tcPr>
          <w:p>
            <w:r/>
            <w:r>
              <w:rPr>
                <w:rFonts w:ascii="Arial" w:hAnsi="Arial"/>
                <w:b w:val="0"/>
                <w:sz w:val="17"/>
              </w:rPr>
              <w:t>Gold vs silver nanoparticle comparison</w:t>
            </w:r>
          </w:p>
        </w:tc>
        <w:tc>
          <w:tcPr>
            <w:tcW w:type="dxa" w:w="5083"/>
            <w:vAlign w:val="center"/>
          </w:tcPr>
          <w:p>
            <w:r/>
            <w:r>
              <w:rPr>
                <w:rFonts w:ascii="Arial" w:hAnsi="Arial"/>
                <w:b w:val="0"/>
                <w:sz w:val="17"/>
              </w:rPr>
              <w:t>Compare stability, signal, and aggregation behaviour</w:t>
            </w:r>
          </w:p>
        </w:tc>
      </w:tr>
      <w:tr>
        <w:tc>
          <w:tcPr>
            <w:tcW w:type="dxa" w:w="5083"/>
            <w:vAlign w:val="center"/>
          </w:tcPr>
          <w:p>
            <w:r/>
            <w:r>
              <w:rPr>
                <w:rFonts w:ascii="Arial" w:hAnsi="Arial"/>
                <w:b w:val="0"/>
                <w:sz w:val="17"/>
              </w:rPr>
              <w:t>Lateral-flow style model</w:t>
            </w:r>
          </w:p>
        </w:tc>
        <w:tc>
          <w:tcPr>
            <w:tcW w:type="dxa" w:w="5083"/>
            <w:vAlign w:val="center"/>
          </w:tcPr>
          <w:p>
            <w:r/>
            <w:r>
              <w:rPr>
                <w:rFonts w:ascii="Arial" w:hAnsi="Arial"/>
                <w:b w:val="0"/>
                <w:sz w:val="17"/>
              </w:rPr>
              <w:t>Translate the complex into a strip-based detection format</w:t>
            </w:r>
          </w:p>
        </w:tc>
      </w:tr>
      <w:tr>
        <w:tc>
          <w:tcPr>
            <w:tcW w:type="dxa" w:w="5083"/>
            <w:vAlign w:val="center"/>
          </w:tcPr>
          <w:p>
            <w:r/>
            <w:r>
              <w:rPr>
                <w:rFonts w:ascii="Arial" w:hAnsi="Arial"/>
                <w:b w:val="0"/>
                <w:sz w:val="17"/>
              </w:rPr>
              <w:t>SERS-tagged antigen recognition</w:t>
            </w:r>
          </w:p>
        </w:tc>
        <w:tc>
          <w:tcPr>
            <w:tcW w:type="dxa" w:w="5083"/>
            <w:vAlign w:val="center"/>
          </w:tcPr>
          <w:p>
            <w:r/>
            <w:r>
              <w:rPr>
                <w:rFonts w:ascii="Arial" w:hAnsi="Arial"/>
                <w:b w:val="0"/>
                <w:sz w:val="17"/>
              </w:rPr>
              <w:t>Connect this complex workflow with Raman-based detection</w:t>
            </w:r>
          </w:p>
        </w:tc>
      </w:tr>
      <w:tr>
        <w:tc>
          <w:tcPr>
            <w:tcW w:type="dxa" w:w="5083"/>
            <w:vAlign w:val="center"/>
          </w:tcPr>
          <w:p>
            <w:r/>
            <w:r>
              <w:rPr>
                <w:rFonts w:ascii="Arial" w:hAnsi="Arial"/>
                <w:b w:val="0"/>
                <w:sz w:val="17"/>
              </w:rPr>
              <w:t>Fluorescent or colorimetric readout model</w:t>
            </w:r>
          </w:p>
        </w:tc>
        <w:tc>
          <w:tcPr>
            <w:tcW w:type="dxa" w:w="5083"/>
            <w:vAlign w:val="center"/>
          </w:tcPr>
          <w:p>
            <w:r/>
            <w:r>
              <w:rPr>
                <w:rFonts w:ascii="Arial" w:hAnsi="Arial"/>
                <w:b w:val="0"/>
                <w:sz w:val="17"/>
              </w:rPr>
              <w:t>Develop visible or optical assay response</w:t>
            </w:r>
          </w:p>
        </w:tc>
      </w:tr>
      <w:tr>
        <w:tc>
          <w:tcPr>
            <w:tcW w:type="dxa" w:w="5083"/>
            <w:vAlign w:val="center"/>
          </w:tcPr>
          <w:p>
            <w:r/>
            <w:r>
              <w:rPr>
                <w:rFonts w:ascii="Arial" w:hAnsi="Arial"/>
                <w:b w:val="0"/>
                <w:sz w:val="17"/>
              </w:rPr>
              <w:t>Manual vs NSL-assisted preparation comparison</w:t>
            </w:r>
          </w:p>
        </w:tc>
        <w:tc>
          <w:tcPr>
            <w:tcW w:type="dxa" w:w="5083"/>
            <w:vAlign w:val="center"/>
          </w:tcPr>
          <w:p>
            <w:r/>
            <w:r>
              <w:rPr>
                <w:rFonts w:ascii="Arial" w:hAnsi="Arial"/>
                <w:b w:val="0"/>
                <w:sz w:val="17"/>
              </w:rPr>
              <w:t>Demonstrate reproducibility and documentation advantage</w:t>
            </w:r>
          </w:p>
        </w:tc>
      </w:tr>
      <w:tr>
        <w:tc>
          <w:tcPr>
            <w:tcW w:type="dxa" w:w="5083"/>
            <w:vAlign w:val="center"/>
          </w:tcPr>
          <w:p>
            <w:r/>
            <w:r>
              <w:rPr>
                <w:rFonts w:ascii="Arial" w:hAnsi="Arial"/>
                <w:b w:val="0"/>
                <w:sz w:val="17"/>
              </w:rPr>
              <w:t>Stability and storage study</w:t>
            </w:r>
          </w:p>
        </w:tc>
        <w:tc>
          <w:tcPr>
            <w:tcW w:type="dxa" w:w="5083"/>
            <w:vAlign w:val="center"/>
          </w:tcPr>
          <w:p>
            <w:r/>
            <w:r>
              <w:rPr>
                <w:rFonts w:ascii="Arial" w:hAnsi="Arial"/>
                <w:b w:val="0"/>
                <w:sz w:val="17"/>
              </w:rPr>
              <w:t>Evaluate complex retention over time</w:t>
            </w:r>
          </w:p>
        </w:tc>
      </w:tr>
    </w:tbl>
    <w:p/>
    <w:p>
      <w:pPr>
        <w:pStyle w:val="Heading1"/>
      </w:pPr>
      <w:r>
        <w:rPr>
          <w:rFonts w:ascii="Arial" w:hAnsi="Arial"/>
        </w:rPr>
        <w:t>18. Suggested Supporting Information Summary</w:t>
      </w:r>
    </w:p>
    <w:p>
      <w:pPr>
        <w:spacing w:after="100"/>
        <w:jc w:val="both"/>
      </w:pPr>
      <w:r>
        <w:rPr>
          <w:rFonts w:ascii="Arial" w:hAnsi="Arial"/>
          <w:sz w:val="20"/>
        </w:rPr>
        <w:t>This protocol demonstrates the assembly of antigen-antibody nanomaterial complexes using functionalized gold or silver nanoparticles in a Protoly-managed, partially NSL-supported workflow. The NSL platform can assist with controlled reagent dispensing, gentle mixing, timed incubation, optional mild temperature support, illumination, camera documentation, exhaust control, and chamber environment recording.</w:t>
      </w:r>
    </w:p>
    <w:p>
      <w:pPr>
        <w:spacing w:after="100"/>
        <w:jc w:val="both"/>
      </w:pPr>
      <w:r>
        <w:rPr>
          <w:rFonts w:ascii="Arial" w:hAnsi="Arial"/>
          <w:sz w:val="20"/>
        </w:rPr>
        <w:t>The scientific value of the protocol is that it connects nanoparticle surface chemistry with antigen-antibody recognition in a structured and educational format. It is suitable for research-scale demonstration, immuno-nanomaterial training, and early-stage biosensor or immunoassay development. However, all important performance claims, including binding specificity, assay response, particle-size change, conjugation efficiency, sensitivity, and biological suitability, must be confirmed separately using external validation methods.</w:t>
      </w:r>
    </w:p>
    <w:p>
      <w:pPr>
        <w:spacing w:after="100"/>
        <w:jc w:val="both"/>
      </w:pPr>
      <w:r>
        <w:rPr>
          <w:rFonts w:ascii="Arial" w:hAnsi="Arial"/>
          <w:sz w:val="20"/>
        </w:rPr>
        <w:t>Overall, the protocol helps show how Protoly can manage complex nano-bio workflows while transparently separating NSL-supported preparation steps from offline analytical and biological validation.</w:t>
      </w:r>
    </w:p>
    <w:sectPr w:rsidR="00FC693F" w:rsidRPr="0006063C" w:rsidSect="00034616">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