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36"/>
        </w:rPr>
        <w:t>Protocol_15_details</w:t>
      </w:r>
    </w:p>
    <w:p>
      <w:pPr>
        <w:jc w:val="center"/>
      </w:pPr>
      <w:r>
        <w:rPr>
          <w:rFonts w:ascii="Arial" w:hAnsi="Arial"/>
          <w:i/>
          <w:sz w:val="22"/>
        </w:rPr>
        <w:t>Supporting Information Document</w:t>
      </w:r>
    </w:p>
    <w:p>
      <w:pPr>
        <w:jc w:val="center"/>
      </w:pPr>
      <w:r>
        <w:rPr>
          <w:rFonts w:ascii="Arial" w:hAnsi="Arial"/>
          <w:b/>
          <w:sz w:val="20"/>
        </w:rPr>
        <w:t>Automated Electrochemical Glucose Detection Model Using Enzyme-Based Biosensor Chemistry</w:t>
      </w:r>
    </w:p>
    <w:p>
      <w:pPr>
        <w:pStyle w:val="Heading1"/>
      </w:pPr>
      <w:r>
        <w:t>1. Support Status on Protoly / NSL</w:t>
      </w:r>
    </w:p>
    <w:p>
      <w:r>
        <w:rPr>
          <w:rFonts w:ascii="Arial" w:hAnsi="Arial" w:eastAsia="Arial"/>
          <w:sz w:val="20"/>
        </w:rPr>
        <w:t>This protocol is partially NSL-supported. The NSL platform can assist with the structured execution of selected assay actions, especially reagent dispensing, timed waiting, controlled stirring, electrochemical operation, chamber illumination, camera-based documentation, exhaust control, UV sterilization, and ambient chamber condition logging.</w:t>
      </w:r>
    </w:p>
    <w:p>
      <w:r>
        <w:rPr>
          <w:rFonts w:ascii="Arial" w:hAnsi="Arial" w:eastAsia="Arial"/>
          <w:sz w:val="20"/>
        </w:rPr>
        <w:t>The protocol should be presented as a research and educational electrochemical biosensor model. It should not be described as a validated glucometer, clinical diagnostic assay, or regulatory-grade medical device.</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NSL-supported part</w:t>
            </w:r>
          </w:p>
        </w:tc>
        <w:tc>
          <w:tcPr>
            <w:tcW w:type="dxa" w:w="5112"/>
            <w:vAlign w:val="center"/>
            <w:shd w:fill="1F4E79"/>
          </w:tcPr>
          <w:p>
            <w:r/>
            <w:r>
              <w:rPr>
                <w:rFonts w:ascii="Arial" w:hAnsi="Arial" w:eastAsia="Arial"/>
                <w:b/>
                <w:color w:val="FFFFFF"/>
                <w:sz w:val="17"/>
              </w:rPr>
              <w:t>Role in this protocol</w:t>
            </w:r>
          </w:p>
        </w:tc>
      </w:tr>
      <w:tr>
        <w:tc>
          <w:tcPr>
            <w:tcW w:type="dxa" w:w="5112"/>
            <w:vAlign w:val="center"/>
          </w:tcPr>
          <w:p>
            <w:r/>
            <w:r>
              <w:rPr>
                <w:rFonts w:ascii="Arial" w:hAnsi="Arial" w:eastAsia="Arial"/>
                <w:b w:val="0"/>
                <w:sz w:val="17"/>
              </w:rPr>
              <w:t>Sterilization UV</w:t>
            </w:r>
          </w:p>
        </w:tc>
        <w:tc>
          <w:tcPr>
            <w:tcW w:type="dxa" w:w="5112"/>
            <w:vAlign w:val="center"/>
          </w:tcPr>
          <w:p>
            <w:r/>
            <w:r>
              <w:rPr>
                <w:rFonts w:ascii="Arial" w:hAnsi="Arial" w:eastAsia="Arial"/>
                <w:b w:val="0"/>
                <w:sz w:val="17"/>
              </w:rPr>
              <w:t>Pre-process chamber sterilization before assay setup</w:t>
            </w:r>
          </w:p>
        </w:tc>
      </w:tr>
      <w:tr>
        <w:tc>
          <w:tcPr>
            <w:tcW w:type="dxa" w:w="5112"/>
            <w:vAlign w:val="center"/>
          </w:tcPr>
          <w:p>
            <w:r/>
            <w:r>
              <w:rPr>
                <w:rFonts w:ascii="Arial" w:hAnsi="Arial" w:eastAsia="Arial"/>
                <w:b w:val="0"/>
                <w:sz w:val="17"/>
              </w:rPr>
              <w:t>Reservoir Dispense</w:t>
            </w:r>
          </w:p>
        </w:tc>
        <w:tc>
          <w:tcPr>
            <w:tcW w:type="dxa" w:w="5112"/>
            <w:vAlign w:val="center"/>
          </w:tcPr>
          <w:p>
            <w:r/>
            <w:r>
              <w:rPr>
                <w:rFonts w:ascii="Arial" w:hAnsi="Arial" w:eastAsia="Arial"/>
                <w:b w:val="0"/>
                <w:sz w:val="17"/>
              </w:rPr>
              <w:t>Addition of buffer, enzyme solution, mediator/electrolyte, washing medium, and glucose standards</w:t>
            </w:r>
          </w:p>
        </w:tc>
      </w:tr>
      <w:tr>
        <w:tc>
          <w:tcPr>
            <w:tcW w:type="dxa" w:w="5112"/>
            <w:vAlign w:val="center"/>
          </w:tcPr>
          <w:p>
            <w:r/>
            <w:r>
              <w:rPr>
                <w:rFonts w:ascii="Arial" w:hAnsi="Arial" w:eastAsia="Arial"/>
                <w:b w:val="0"/>
                <w:sz w:val="17"/>
              </w:rPr>
              <w:t>Stirrer</w:t>
            </w:r>
          </w:p>
        </w:tc>
        <w:tc>
          <w:tcPr>
            <w:tcW w:type="dxa" w:w="5112"/>
            <w:vAlign w:val="center"/>
          </w:tcPr>
          <w:p>
            <w:r/>
            <w:r>
              <w:rPr>
                <w:rFonts w:ascii="Arial" w:hAnsi="Arial" w:eastAsia="Arial"/>
                <w:b w:val="0"/>
                <w:sz w:val="17"/>
              </w:rPr>
              <w:t>Gentle mixing or equilibration of assay reagents where required</w:t>
            </w:r>
          </w:p>
        </w:tc>
      </w:tr>
      <w:tr>
        <w:tc>
          <w:tcPr>
            <w:tcW w:type="dxa" w:w="5112"/>
            <w:vAlign w:val="center"/>
          </w:tcPr>
          <w:p>
            <w:r/>
            <w:r>
              <w:rPr>
                <w:rFonts w:ascii="Arial" w:hAnsi="Arial" w:eastAsia="Arial"/>
                <w:b w:val="0"/>
                <w:sz w:val="17"/>
              </w:rPr>
              <w:t>Wait</w:t>
            </w:r>
          </w:p>
        </w:tc>
        <w:tc>
          <w:tcPr>
            <w:tcW w:type="dxa" w:w="5112"/>
            <w:vAlign w:val="center"/>
          </w:tcPr>
          <w:p>
            <w:r/>
            <w:r>
              <w:rPr>
                <w:rFonts w:ascii="Arial" w:hAnsi="Arial" w:eastAsia="Arial"/>
                <w:b w:val="0"/>
                <w:sz w:val="17"/>
              </w:rPr>
              <w:t>Fixed enzyme reaction time, baseline stabilization, and incubation periods</w:t>
            </w:r>
          </w:p>
        </w:tc>
      </w:tr>
      <w:tr>
        <w:tc>
          <w:tcPr>
            <w:tcW w:type="dxa" w:w="5112"/>
            <w:vAlign w:val="center"/>
          </w:tcPr>
          <w:p>
            <w:r/>
            <w:r>
              <w:rPr>
                <w:rFonts w:ascii="Arial" w:hAnsi="Arial" w:eastAsia="Arial"/>
                <w:b w:val="0"/>
                <w:sz w:val="17"/>
              </w:rPr>
              <w:t>Electrochemical Module</w:t>
            </w:r>
          </w:p>
        </w:tc>
        <w:tc>
          <w:tcPr>
            <w:tcW w:type="dxa" w:w="5112"/>
            <w:vAlign w:val="center"/>
          </w:tcPr>
          <w:p>
            <w:r/>
            <w:r>
              <w:rPr>
                <w:rFonts w:ascii="Arial" w:hAnsi="Arial" w:eastAsia="Arial"/>
                <w:b w:val="0"/>
                <w:sz w:val="17"/>
              </w:rPr>
              <w:t>Application of defined voltage/current conditions for glucose response measurement</w:t>
            </w:r>
          </w:p>
        </w:tc>
      </w:tr>
      <w:tr>
        <w:tc>
          <w:tcPr>
            <w:tcW w:type="dxa" w:w="5112"/>
            <w:vAlign w:val="center"/>
          </w:tcPr>
          <w:p>
            <w:r/>
            <w:r>
              <w:rPr>
                <w:rFonts w:ascii="Arial" w:hAnsi="Arial" w:eastAsia="Arial"/>
                <w:b w:val="0"/>
                <w:sz w:val="17"/>
              </w:rPr>
              <w:t>LED/UV/IR Illumination</w:t>
            </w:r>
          </w:p>
        </w:tc>
        <w:tc>
          <w:tcPr>
            <w:tcW w:type="dxa" w:w="5112"/>
            <w:vAlign w:val="center"/>
          </w:tcPr>
          <w:p>
            <w:r/>
            <w:r>
              <w:rPr>
                <w:rFonts w:ascii="Arial" w:hAnsi="Arial" w:eastAsia="Arial"/>
                <w:b w:val="0"/>
                <w:sz w:val="17"/>
              </w:rPr>
              <w:t>Chamber lighting support for visual documentation only</w:t>
            </w:r>
          </w:p>
        </w:tc>
      </w:tr>
      <w:tr>
        <w:tc>
          <w:tcPr>
            <w:tcW w:type="dxa" w:w="5112"/>
            <w:vAlign w:val="center"/>
          </w:tcPr>
          <w:p>
            <w:r/>
            <w:r>
              <w:rPr>
                <w:rFonts w:ascii="Arial" w:hAnsi="Arial" w:eastAsia="Arial"/>
                <w:b w:val="0"/>
                <w:sz w:val="17"/>
              </w:rPr>
              <w:t>Camera</w:t>
            </w:r>
          </w:p>
        </w:tc>
        <w:tc>
          <w:tcPr>
            <w:tcW w:type="dxa" w:w="5112"/>
            <w:vAlign w:val="center"/>
          </w:tcPr>
          <w:p>
            <w:r/>
            <w:r>
              <w:rPr>
                <w:rFonts w:ascii="Arial" w:hAnsi="Arial" w:eastAsia="Arial"/>
                <w:b w:val="0"/>
                <w:sz w:val="17"/>
              </w:rPr>
              <w:t>Visual record of electrode setup and assay condition</w:t>
            </w:r>
          </w:p>
        </w:tc>
      </w:tr>
      <w:tr>
        <w:tc>
          <w:tcPr>
            <w:tcW w:type="dxa" w:w="5112"/>
            <w:vAlign w:val="center"/>
          </w:tcPr>
          <w:p>
            <w:r/>
            <w:r>
              <w:rPr>
                <w:rFonts w:ascii="Arial" w:hAnsi="Arial" w:eastAsia="Arial"/>
                <w:b w:val="0"/>
                <w:sz w:val="17"/>
              </w:rPr>
              <w:t>Environment Sensors</w:t>
            </w:r>
          </w:p>
        </w:tc>
        <w:tc>
          <w:tcPr>
            <w:tcW w:type="dxa" w:w="5112"/>
            <w:vAlign w:val="center"/>
          </w:tcPr>
          <w:p>
            <w:r/>
            <w:r>
              <w:rPr>
                <w:rFonts w:ascii="Arial" w:hAnsi="Arial" w:eastAsia="Arial"/>
                <w:b w:val="0"/>
                <w:sz w:val="17"/>
              </w:rPr>
              <w:t>Ambient chamber condition record</w:t>
            </w:r>
          </w:p>
        </w:tc>
      </w:tr>
      <w:tr>
        <w:tc>
          <w:tcPr>
            <w:tcW w:type="dxa" w:w="5112"/>
            <w:vAlign w:val="center"/>
          </w:tcPr>
          <w:p>
            <w:r/>
            <w:r>
              <w:rPr>
                <w:rFonts w:ascii="Arial" w:hAnsi="Arial" w:eastAsia="Arial"/>
                <w:b w:val="0"/>
                <w:sz w:val="17"/>
              </w:rPr>
              <w:t>Exhaust</w:t>
            </w:r>
          </w:p>
        </w:tc>
        <w:tc>
          <w:tcPr>
            <w:tcW w:type="dxa" w:w="5112"/>
            <w:vAlign w:val="center"/>
          </w:tcPr>
          <w:p>
            <w:r/>
            <w:r>
              <w:rPr>
                <w:rFonts w:ascii="Arial" w:hAnsi="Arial" w:eastAsia="Arial"/>
                <w:b w:val="0"/>
                <w:sz w:val="17"/>
              </w:rPr>
              <w:t>Airflow support during reagent handling or cleaning steps</w:t>
            </w:r>
          </w:p>
        </w:tc>
      </w:tr>
    </w:tbl>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Offline / external activity</w:t>
            </w:r>
          </w:p>
        </w:tc>
        <w:tc>
          <w:tcPr>
            <w:tcW w:type="dxa" w:w="5112"/>
            <w:vAlign w:val="center"/>
            <w:shd w:fill="1F4E79"/>
          </w:tcPr>
          <w:p>
            <w:r/>
            <w:r>
              <w:rPr>
                <w:rFonts w:ascii="Arial" w:hAnsi="Arial" w:eastAsia="Arial"/>
                <w:b/>
                <w:color w:val="FFFFFF"/>
                <w:sz w:val="17"/>
              </w:rPr>
              <w:t>Purpose</w:t>
            </w:r>
          </w:p>
        </w:tc>
      </w:tr>
      <w:tr>
        <w:tc>
          <w:tcPr>
            <w:tcW w:type="dxa" w:w="5112"/>
            <w:vAlign w:val="center"/>
          </w:tcPr>
          <w:p>
            <w:r/>
            <w:r>
              <w:rPr>
                <w:rFonts w:ascii="Arial" w:hAnsi="Arial" w:eastAsia="Arial"/>
                <w:b w:val="0"/>
                <w:sz w:val="17"/>
              </w:rPr>
              <w:t>Electrode polishing or surface modification</w:t>
            </w:r>
          </w:p>
        </w:tc>
        <w:tc>
          <w:tcPr>
            <w:tcW w:type="dxa" w:w="5112"/>
            <w:vAlign w:val="center"/>
          </w:tcPr>
          <w:p>
            <w:r/>
            <w:r>
              <w:rPr>
                <w:rFonts w:ascii="Arial" w:hAnsi="Arial" w:eastAsia="Arial"/>
                <w:b w:val="0"/>
                <w:sz w:val="17"/>
              </w:rPr>
              <w:t>Preparation of consistent electrode surface</w:t>
            </w:r>
          </w:p>
        </w:tc>
      </w:tr>
      <w:tr>
        <w:tc>
          <w:tcPr>
            <w:tcW w:type="dxa" w:w="5112"/>
            <w:vAlign w:val="center"/>
          </w:tcPr>
          <w:p>
            <w:r/>
            <w:r>
              <w:rPr>
                <w:rFonts w:ascii="Arial" w:hAnsi="Arial" w:eastAsia="Arial"/>
                <w:b w:val="0"/>
                <w:sz w:val="17"/>
              </w:rPr>
              <w:t>Enzyme immobilization validation</w:t>
            </w:r>
          </w:p>
        </w:tc>
        <w:tc>
          <w:tcPr>
            <w:tcW w:type="dxa" w:w="5112"/>
            <w:vAlign w:val="center"/>
          </w:tcPr>
          <w:p>
            <w:r/>
            <w:r>
              <w:rPr>
                <w:rFonts w:ascii="Arial" w:hAnsi="Arial" w:eastAsia="Arial"/>
                <w:b w:val="0"/>
                <w:sz w:val="17"/>
              </w:rPr>
              <w:t>Confirmation that glucose oxidase remains active on the electrode or in solution</w:t>
            </w:r>
          </w:p>
        </w:tc>
      </w:tr>
      <w:tr>
        <w:tc>
          <w:tcPr>
            <w:tcW w:type="dxa" w:w="5112"/>
            <w:vAlign w:val="center"/>
          </w:tcPr>
          <w:p>
            <w:r/>
            <w:r>
              <w:rPr>
                <w:rFonts w:ascii="Arial" w:hAnsi="Arial" w:eastAsia="Arial"/>
                <w:b w:val="0"/>
                <w:sz w:val="17"/>
              </w:rPr>
              <w:t>Electrochemical data processing</w:t>
            </w:r>
          </w:p>
        </w:tc>
        <w:tc>
          <w:tcPr>
            <w:tcW w:type="dxa" w:w="5112"/>
            <w:vAlign w:val="center"/>
          </w:tcPr>
          <w:p>
            <w:r/>
            <w:r>
              <w:rPr>
                <w:rFonts w:ascii="Arial" w:hAnsi="Arial" w:eastAsia="Arial"/>
                <w:b w:val="0"/>
                <w:sz w:val="17"/>
              </w:rPr>
              <w:t>Current-response analysis, peak interpretation, and signal extraction</w:t>
            </w:r>
          </w:p>
        </w:tc>
      </w:tr>
      <w:tr>
        <w:tc>
          <w:tcPr>
            <w:tcW w:type="dxa" w:w="5112"/>
            <w:vAlign w:val="center"/>
          </w:tcPr>
          <w:p>
            <w:r/>
            <w:r>
              <w:rPr>
                <w:rFonts w:ascii="Arial" w:hAnsi="Arial" w:eastAsia="Arial"/>
                <w:b w:val="0"/>
                <w:sz w:val="17"/>
              </w:rPr>
              <w:t>Calibration curve preparation</w:t>
            </w:r>
          </w:p>
        </w:tc>
        <w:tc>
          <w:tcPr>
            <w:tcW w:type="dxa" w:w="5112"/>
            <w:vAlign w:val="center"/>
          </w:tcPr>
          <w:p>
            <w:r/>
            <w:r>
              <w:rPr>
                <w:rFonts w:ascii="Arial" w:hAnsi="Arial" w:eastAsia="Arial"/>
                <w:b w:val="0"/>
                <w:sz w:val="17"/>
              </w:rPr>
              <w:t>Correlation between glucose concentration and response</w:t>
            </w:r>
          </w:p>
        </w:tc>
      </w:tr>
      <w:tr>
        <w:tc>
          <w:tcPr>
            <w:tcW w:type="dxa" w:w="5112"/>
            <w:vAlign w:val="center"/>
          </w:tcPr>
          <w:p>
            <w:r/>
            <w:r>
              <w:rPr>
                <w:rFonts w:ascii="Arial" w:hAnsi="Arial" w:eastAsia="Arial"/>
                <w:b w:val="0"/>
                <w:sz w:val="17"/>
              </w:rPr>
              <w:t>Sensitivity and detection-limit calculation</w:t>
            </w:r>
          </w:p>
        </w:tc>
        <w:tc>
          <w:tcPr>
            <w:tcW w:type="dxa" w:w="5112"/>
            <w:vAlign w:val="center"/>
          </w:tcPr>
          <w:p>
            <w:r/>
            <w:r>
              <w:rPr>
                <w:rFonts w:ascii="Arial" w:hAnsi="Arial" w:eastAsia="Arial"/>
                <w:b w:val="0"/>
                <w:sz w:val="17"/>
              </w:rPr>
              <w:t>Analytical method performance evaluation</w:t>
            </w:r>
          </w:p>
        </w:tc>
      </w:tr>
      <w:tr>
        <w:tc>
          <w:tcPr>
            <w:tcW w:type="dxa" w:w="5112"/>
            <w:vAlign w:val="center"/>
          </w:tcPr>
          <w:p>
            <w:r/>
            <w:r>
              <w:rPr>
                <w:rFonts w:ascii="Arial" w:hAnsi="Arial" w:eastAsia="Arial"/>
                <w:b w:val="0"/>
                <w:sz w:val="17"/>
              </w:rPr>
              <w:t>Interference and selectivity testing</w:t>
            </w:r>
          </w:p>
        </w:tc>
        <w:tc>
          <w:tcPr>
            <w:tcW w:type="dxa" w:w="5112"/>
            <w:vAlign w:val="center"/>
          </w:tcPr>
          <w:p>
            <w:r/>
            <w:r>
              <w:rPr>
                <w:rFonts w:ascii="Arial" w:hAnsi="Arial" w:eastAsia="Arial"/>
                <w:b w:val="0"/>
                <w:sz w:val="17"/>
              </w:rPr>
              <w:t>Evaluation against other electroactive species</w:t>
            </w:r>
          </w:p>
        </w:tc>
      </w:tr>
      <w:tr>
        <w:tc>
          <w:tcPr>
            <w:tcW w:type="dxa" w:w="5112"/>
            <w:vAlign w:val="center"/>
          </w:tcPr>
          <w:p>
            <w:r/>
            <w:r>
              <w:rPr>
                <w:rFonts w:ascii="Arial" w:hAnsi="Arial" w:eastAsia="Arial"/>
                <w:b w:val="0"/>
                <w:sz w:val="17"/>
              </w:rPr>
              <w:t>Real-sample validation</w:t>
            </w:r>
          </w:p>
        </w:tc>
        <w:tc>
          <w:tcPr>
            <w:tcW w:type="dxa" w:w="5112"/>
            <w:vAlign w:val="center"/>
          </w:tcPr>
          <w:p>
            <w:r/>
            <w:r>
              <w:rPr>
                <w:rFonts w:ascii="Arial" w:hAnsi="Arial" w:eastAsia="Arial"/>
                <w:b w:val="0"/>
                <w:sz w:val="17"/>
              </w:rPr>
              <w:t>Testing in biological or food samples, if intended</w:t>
            </w:r>
          </w:p>
        </w:tc>
      </w:tr>
      <w:tr>
        <w:tc>
          <w:tcPr>
            <w:tcW w:type="dxa" w:w="5112"/>
            <w:vAlign w:val="center"/>
          </w:tcPr>
          <w:p>
            <w:r/>
            <w:r>
              <w:rPr>
                <w:rFonts w:ascii="Arial" w:hAnsi="Arial" w:eastAsia="Arial"/>
                <w:b w:val="0"/>
                <w:sz w:val="17"/>
              </w:rPr>
              <w:t>Clinical or regulatory validation</w:t>
            </w:r>
          </w:p>
        </w:tc>
        <w:tc>
          <w:tcPr>
            <w:tcW w:type="dxa" w:w="5112"/>
            <w:vAlign w:val="center"/>
          </w:tcPr>
          <w:p>
            <w:r/>
            <w:r>
              <w:rPr>
                <w:rFonts w:ascii="Arial" w:hAnsi="Arial" w:eastAsia="Arial"/>
                <w:b w:val="0"/>
                <w:sz w:val="17"/>
              </w:rPr>
              <w:t>Required before any diagnostic use</w:t>
            </w:r>
          </w:p>
        </w:tc>
      </w:tr>
    </w:tbl>
    <w:p/>
    <w:p>
      <w:pPr>
        <w:pStyle w:val="Heading1"/>
      </w:pPr>
      <w:r>
        <w:t>2. Purpose of This Supporting Information</w:t>
      </w:r>
    </w:p>
    <w:p>
      <w:r>
        <w:rPr>
          <w:rFonts w:ascii="Arial" w:hAnsi="Arial" w:eastAsia="Arial"/>
          <w:sz w:val="20"/>
        </w:rPr>
        <w:t>The main Protoly writeup contains the operational fields required for protocol entry. This supporting document explains the deeper context, scientific intent, assay logic, automation relevance, and correct interpretation of the electrochemical glucose detection protocol.</w:t>
      </w:r>
    </w:p>
    <w:p>
      <w:r>
        <w:rPr>
          <w:rFonts w:ascii="Arial" w:hAnsi="Arial" w:eastAsia="Arial"/>
          <w:sz w:val="20"/>
        </w:rPr>
        <w:t>The purpose is to help readers understand why glucose detection is a useful model for biosensor development and how Protoly can organize an enzyme-based electrochemical assay into a repeatable workflow. It also clarifies that NSL support is limited to selected physical and electrochemical operations, while analytical validation remains external.</w:t>
      </w:r>
    </w:p>
    <w:p>
      <w:pPr>
        <w:pStyle w:val="Heading1"/>
      </w:pPr>
      <w:r>
        <w:t>3. Overall Concept of the Protocol</w:t>
      </w:r>
    </w:p>
    <w:p>
      <w:r>
        <w:rPr>
          <w:rFonts w:ascii="Arial" w:hAnsi="Arial" w:eastAsia="Arial"/>
          <w:sz w:val="20"/>
        </w:rPr>
        <w:t>Glucose detection is a classic example of biosensor chemistry because it combines a biological recognition element with an electrochemical transducer. In this protocol, glucose oxidase or an enzyme-modified electrode is used to connect glucose concentration with an electrochemical signal. The experiment can be structured as a sequence of reagent addition, incubation, electrode operation, and data analysis.</w:t>
      </w:r>
    </w:p>
    <w:p>
      <w:r>
        <w:rPr>
          <w:rFonts w:ascii="Arial" w:hAnsi="Arial" w:eastAsia="Arial"/>
          <w:sz w:val="20"/>
        </w:rPr>
        <w:t>The core workflow can be understood as: enzyme chemistry recognizes glucose, the reaction generates or supports an electroactive response, the Electrochemical Module applies a defined electrical condition, and the measured signal is compared across glucose concentrations.</w:t>
      </w:r>
    </w:p>
    <w:p>
      <w:r>
        <w:rPr>
          <w:rFonts w:ascii="Arial" w:hAnsi="Arial" w:eastAsia="Arial"/>
          <w:sz w:val="20"/>
        </w:rPr>
        <w:t>This makes the protocol valuable for teaching enzyme-based sensing, analytical calibration, electrode response, and automation-assisted assay design.</w:t>
      </w:r>
    </w:p>
    <w:p>
      <w:pPr>
        <w:pStyle w:val="Heading1"/>
      </w:pPr>
      <w:r>
        <w:t>4. Why Glucose Detection Was Selected</w:t>
      </w:r>
    </w:p>
    <w:p>
      <w:r>
        <w:rPr>
          <w:rFonts w:ascii="Arial" w:hAnsi="Arial" w:eastAsia="Arial"/>
          <w:sz w:val="20"/>
        </w:rPr>
        <w:t>Glucose detection was selected because it is one of the most familiar and scientifically established examples of electrochemical biosensing. It is easy to explain to students and general webinar participants, while still being meaningful for advanced research discussions.</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Reason</w:t>
            </w:r>
          </w:p>
        </w:tc>
        <w:tc>
          <w:tcPr>
            <w:tcW w:type="dxa" w:w="5112"/>
            <w:vAlign w:val="center"/>
            <w:shd w:fill="1F4E79"/>
          </w:tcPr>
          <w:p>
            <w:r/>
            <w:r>
              <w:rPr>
                <w:rFonts w:ascii="Arial" w:hAnsi="Arial" w:eastAsia="Arial"/>
                <w:b/>
                <w:color w:val="FFFFFF"/>
                <w:sz w:val="17"/>
              </w:rPr>
              <w:t>Relevance</w:t>
            </w:r>
          </w:p>
        </w:tc>
      </w:tr>
      <w:tr>
        <w:tc>
          <w:tcPr>
            <w:tcW w:type="dxa" w:w="5112"/>
            <w:vAlign w:val="center"/>
          </w:tcPr>
          <w:p>
            <w:r/>
            <w:r>
              <w:rPr>
                <w:rFonts w:ascii="Arial" w:hAnsi="Arial" w:eastAsia="Arial"/>
                <w:b w:val="0"/>
                <w:sz w:val="17"/>
              </w:rPr>
              <w:t>Well-known biosensor example</w:t>
            </w:r>
          </w:p>
        </w:tc>
        <w:tc>
          <w:tcPr>
            <w:tcW w:type="dxa" w:w="5112"/>
            <w:vAlign w:val="center"/>
          </w:tcPr>
          <w:p>
            <w:r/>
            <w:r>
              <w:rPr>
                <w:rFonts w:ascii="Arial" w:hAnsi="Arial" w:eastAsia="Arial"/>
                <w:b w:val="0"/>
                <w:sz w:val="17"/>
              </w:rPr>
              <w:t>Most participants can relate it to glucose monitoring</w:t>
            </w:r>
          </w:p>
        </w:tc>
      </w:tr>
      <w:tr>
        <w:tc>
          <w:tcPr>
            <w:tcW w:type="dxa" w:w="5112"/>
            <w:vAlign w:val="center"/>
          </w:tcPr>
          <w:p>
            <w:r/>
            <w:r>
              <w:rPr>
                <w:rFonts w:ascii="Arial" w:hAnsi="Arial" w:eastAsia="Arial"/>
                <w:b w:val="0"/>
                <w:sz w:val="17"/>
              </w:rPr>
              <w:t>Clear biochemical recognition step</w:t>
            </w:r>
          </w:p>
        </w:tc>
        <w:tc>
          <w:tcPr>
            <w:tcW w:type="dxa" w:w="5112"/>
            <w:vAlign w:val="center"/>
          </w:tcPr>
          <w:p>
            <w:r/>
            <w:r>
              <w:rPr>
                <w:rFonts w:ascii="Arial" w:hAnsi="Arial" w:eastAsia="Arial"/>
                <w:b w:val="0"/>
                <w:sz w:val="17"/>
              </w:rPr>
              <w:t>Glucose oxidase provides enzyme specificity</w:t>
            </w:r>
          </w:p>
        </w:tc>
      </w:tr>
      <w:tr>
        <w:tc>
          <w:tcPr>
            <w:tcW w:type="dxa" w:w="5112"/>
            <w:vAlign w:val="center"/>
          </w:tcPr>
          <w:p>
            <w:r/>
            <w:r>
              <w:rPr>
                <w:rFonts w:ascii="Arial" w:hAnsi="Arial" w:eastAsia="Arial"/>
                <w:b w:val="0"/>
                <w:sz w:val="17"/>
              </w:rPr>
              <w:t>Electrochemical readout</w:t>
            </w:r>
          </w:p>
        </w:tc>
        <w:tc>
          <w:tcPr>
            <w:tcW w:type="dxa" w:w="5112"/>
            <w:vAlign w:val="center"/>
          </w:tcPr>
          <w:p>
            <w:r/>
            <w:r>
              <w:rPr>
                <w:rFonts w:ascii="Arial" w:hAnsi="Arial" w:eastAsia="Arial"/>
                <w:b w:val="0"/>
                <w:sz w:val="17"/>
              </w:rPr>
              <w:t>Suitable for NSL Electrochemical Module demonstration</w:t>
            </w:r>
          </w:p>
        </w:tc>
      </w:tr>
      <w:tr>
        <w:tc>
          <w:tcPr>
            <w:tcW w:type="dxa" w:w="5112"/>
            <w:vAlign w:val="center"/>
          </w:tcPr>
          <w:p>
            <w:r/>
            <w:r>
              <w:rPr>
                <w:rFonts w:ascii="Arial" w:hAnsi="Arial" w:eastAsia="Arial"/>
                <w:b w:val="0"/>
                <w:sz w:val="17"/>
              </w:rPr>
              <w:t>Calibration-friendly</w:t>
            </w:r>
          </w:p>
        </w:tc>
        <w:tc>
          <w:tcPr>
            <w:tcW w:type="dxa" w:w="5112"/>
            <w:vAlign w:val="center"/>
          </w:tcPr>
          <w:p>
            <w:r/>
            <w:r>
              <w:rPr>
                <w:rFonts w:ascii="Arial" w:hAnsi="Arial" w:eastAsia="Arial"/>
                <w:b w:val="0"/>
                <w:sz w:val="17"/>
              </w:rPr>
              <w:t>Different glucose concentrations can be compared</w:t>
            </w:r>
          </w:p>
        </w:tc>
      </w:tr>
      <w:tr>
        <w:tc>
          <w:tcPr>
            <w:tcW w:type="dxa" w:w="5112"/>
            <w:vAlign w:val="center"/>
          </w:tcPr>
          <w:p>
            <w:r/>
            <w:r>
              <w:rPr>
                <w:rFonts w:ascii="Arial" w:hAnsi="Arial" w:eastAsia="Arial"/>
                <w:b w:val="0"/>
                <w:sz w:val="17"/>
              </w:rPr>
              <w:t>Training value</w:t>
            </w:r>
          </w:p>
        </w:tc>
        <w:tc>
          <w:tcPr>
            <w:tcW w:type="dxa" w:w="5112"/>
            <w:vAlign w:val="center"/>
          </w:tcPr>
          <w:p>
            <w:r/>
            <w:r>
              <w:rPr>
                <w:rFonts w:ascii="Arial" w:hAnsi="Arial" w:eastAsia="Arial"/>
                <w:b w:val="0"/>
                <w:sz w:val="17"/>
              </w:rPr>
              <w:t>Useful for teaching assay design and analytical method development</w:t>
            </w:r>
          </w:p>
        </w:tc>
      </w:tr>
      <w:tr>
        <w:tc>
          <w:tcPr>
            <w:tcW w:type="dxa" w:w="5112"/>
            <w:vAlign w:val="center"/>
          </w:tcPr>
          <w:p>
            <w:r/>
            <w:r>
              <w:rPr>
                <w:rFonts w:ascii="Arial" w:hAnsi="Arial" w:eastAsia="Arial"/>
                <w:b w:val="0"/>
                <w:sz w:val="17"/>
              </w:rPr>
              <w:t>Expandable platform</w:t>
            </w:r>
          </w:p>
        </w:tc>
        <w:tc>
          <w:tcPr>
            <w:tcW w:type="dxa" w:w="5112"/>
            <w:vAlign w:val="center"/>
          </w:tcPr>
          <w:p>
            <w:r/>
            <w:r>
              <w:rPr>
                <w:rFonts w:ascii="Arial" w:hAnsi="Arial" w:eastAsia="Arial"/>
                <w:b w:val="0"/>
                <w:sz w:val="17"/>
              </w:rPr>
              <w:t>Can later include electrode modification, mediators, nanomaterials, or enzyme immobilization</w:t>
            </w:r>
          </w:p>
        </w:tc>
      </w:tr>
    </w:tbl>
    <w:p/>
    <w:p>
      <w:pPr>
        <w:pStyle w:val="Heading1"/>
      </w:pPr>
      <w:r>
        <w:t>5. Scientific Background</w:t>
      </w:r>
    </w:p>
    <w:p>
      <w:r>
        <w:rPr>
          <w:rFonts w:ascii="Arial" w:hAnsi="Arial" w:eastAsia="Arial"/>
          <w:sz w:val="20"/>
        </w:rPr>
        <w:t>In enzyme-based glucose sensing, glucose oxidase catalyzes the oxidation of glucose under suitable conditions. Depending on the selected biosensor design, the resulting electrochemical response may be associated with hydrogen peroxide generation, mediator-based electron transfer, or direct/indirect electrode response.</w:t>
      </w:r>
    </w:p>
    <w:p>
      <w:r>
        <w:rPr>
          <w:rFonts w:ascii="Arial" w:hAnsi="Arial" w:eastAsia="Arial"/>
          <w:sz w:val="20"/>
        </w:rPr>
        <w:t>The exact mechanism depends on the electrode system, enzyme format, mediator chemistry, electrolyte, and measurement mode. For a webinar or research-training protocol, the important concept is that glucose concentration can influence the electrochemical signal in a measurable way.</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Component</w:t>
            </w:r>
          </w:p>
        </w:tc>
        <w:tc>
          <w:tcPr>
            <w:tcW w:type="dxa" w:w="5112"/>
            <w:vAlign w:val="center"/>
            <w:shd w:fill="1F4E79"/>
          </w:tcPr>
          <w:p>
            <w:r/>
            <w:r>
              <w:rPr>
                <w:rFonts w:ascii="Arial" w:hAnsi="Arial" w:eastAsia="Arial"/>
                <w:b/>
                <w:color w:val="FFFFFF"/>
                <w:sz w:val="17"/>
              </w:rPr>
              <w:t>General role</w:t>
            </w:r>
          </w:p>
        </w:tc>
      </w:tr>
      <w:tr>
        <w:tc>
          <w:tcPr>
            <w:tcW w:type="dxa" w:w="5112"/>
            <w:vAlign w:val="center"/>
          </w:tcPr>
          <w:p>
            <w:r/>
            <w:r>
              <w:rPr>
                <w:rFonts w:ascii="Arial" w:hAnsi="Arial" w:eastAsia="Arial"/>
                <w:b w:val="0"/>
                <w:sz w:val="17"/>
              </w:rPr>
              <w:t>Glucose</w:t>
            </w:r>
          </w:p>
        </w:tc>
        <w:tc>
          <w:tcPr>
            <w:tcW w:type="dxa" w:w="5112"/>
            <w:vAlign w:val="center"/>
          </w:tcPr>
          <w:p>
            <w:r/>
            <w:r>
              <w:rPr>
                <w:rFonts w:ascii="Arial" w:hAnsi="Arial" w:eastAsia="Arial"/>
                <w:b w:val="0"/>
                <w:sz w:val="17"/>
              </w:rPr>
              <w:t>Target analyte or model substrate</w:t>
            </w:r>
          </w:p>
        </w:tc>
      </w:tr>
      <w:tr>
        <w:tc>
          <w:tcPr>
            <w:tcW w:type="dxa" w:w="5112"/>
            <w:vAlign w:val="center"/>
          </w:tcPr>
          <w:p>
            <w:r/>
            <w:r>
              <w:rPr>
                <w:rFonts w:ascii="Arial" w:hAnsi="Arial" w:eastAsia="Arial"/>
                <w:b w:val="0"/>
                <w:sz w:val="17"/>
              </w:rPr>
              <w:t>Glucose oxidase</w:t>
            </w:r>
          </w:p>
        </w:tc>
        <w:tc>
          <w:tcPr>
            <w:tcW w:type="dxa" w:w="5112"/>
            <w:vAlign w:val="center"/>
          </w:tcPr>
          <w:p>
            <w:r/>
            <w:r>
              <w:rPr>
                <w:rFonts w:ascii="Arial" w:hAnsi="Arial" w:eastAsia="Arial"/>
                <w:b w:val="0"/>
                <w:sz w:val="17"/>
              </w:rPr>
              <w:t>Biological recognition enzyme</w:t>
            </w:r>
          </w:p>
        </w:tc>
      </w:tr>
      <w:tr>
        <w:tc>
          <w:tcPr>
            <w:tcW w:type="dxa" w:w="5112"/>
            <w:vAlign w:val="center"/>
          </w:tcPr>
          <w:p>
            <w:r/>
            <w:r>
              <w:rPr>
                <w:rFonts w:ascii="Arial" w:hAnsi="Arial" w:eastAsia="Arial"/>
                <w:b w:val="0"/>
                <w:sz w:val="17"/>
              </w:rPr>
              <w:t>Mediator, if used</w:t>
            </w:r>
          </w:p>
        </w:tc>
        <w:tc>
          <w:tcPr>
            <w:tcW w:type="dxa" w:w="5112"/>
            <w:vAlign w:val="center"/>
          </w:tcPr>
          <w:p>
            <w:r/>
            <w:r>
              <w:rPr>
                <w:rFonts w:ascii="Arial" w:hAnsi="Arial" w:eastAsia="Arial"/>
                <w:b w:val="0"/>
                <w:sz w:val="17"/>
              </w:rPr>
              <w:t>Supports electron transfer between enzyme system and electrode</w:t>
            </w:r>
          </w:p>
        </w:tc>
      </w:tr>
      <w:tr>
        <w:tc>
          <w:tcPr>
            <w:tcW w:type="dxa" w:w="5112"/>
            <w:vAlign w:val="center"/>
          </w:tcPr>
          <w:p>
            <w:r/>
            <w:r>
              <w:rPr>
                <w:rFonts w:ascii="Arial" w:hAnsi="Arial" w:eastAsia="Arial"/>
                <w:b w:val="0"/>
                <w:sz w:val="17"/>
              </w:rPr>
              <w:t>Electrolyte / buffer</w:t>
            </w:r>
          </w:p>
        </w:tc>
        <w:tc>
          <w:tcPr>
            <w:tcW w:type="dxa" w:w="5112"/>
            <w:vAlign w:val="center"/>
          </w:tcPr>
          <w:p>
            <w:r/>
            <w:r>
              <w:rPr>
                <w:rFonts w:ascii="Arial" w:hAnsi="Arial" w:eastAsia="Arial"/>
                <w:b w:val="0"/>
                <w:sz w:val="17"/>
              </w:rPr>
              <w:t>Maintains ionic conductivity and reaction environment</w:t>
            </w:r>
          </w:p>
        </w:tc>
      </w:tr>
      <w:tr>
        <w:tc>
          <w:tcPr>
            <w:tcW w:type="dxa" w:w="5112"/>
            <w:vAlign w:val="center"/>
          </w:tcPr>
          <w:p>
            <w:r/>
            <w:r>
              <w:rPr>
                <w:rFonts w:ascii="Arial" w:hAnsi="Arial" w:eastAsia="Arial"/>
                <w:b w:val="0"/>
                <w:sz w:val="17"/>
              </w:rPr>
              <w:t>Working electrode</w:t>
            </w:r>
          </w:p>
        </w:tc>
        <w:tc>
          <w:tcPr>
            <w:tcW w:type="dxa" w:w="5112"/>
            <w:vAlign w:val="center"/>
          </w:tcPr>
          <w:p>
            <w:r/>
            <w:r>
              <w:rPr>
                <w:rFonts w:ascii="Arial" w:hAnsi="Arial" w:eastAsia="Arial"/>
                <w:b w:val="0"/>
                <w:sz w:val="17"/>
              </w:rPr>
              <w:t>Surface where the electrochemical response is monitored</w:t>
            </w:r>
          </w:p>
        </w:tc>
      </w:tr>
      <w:tr>
        <w:tc>
          <w:tcPr>
            <w:tcW w:type="dxa" w:w="5112"/>
            <w:vAlign w:val="center"/>
          </w:tcPr>
          <w:p>
            <w:r/>
            <w:r>
              <w:rPr>
                <w:rFonts w:ascii="Arial" w:hAnsi="Arial" w:eastAsia="Arial"/>
                <w:b w:val="0"/>
                <w:sz w:val="17"/>
              </w:rPr>
              <w:t>Reference electrode</w:t>
            </w:r>
          </w:p>
        </w:tc>
        <w:tc>
          <w:tcPr>
            <w:tcW w:type="dxa" w:w="5112"/>
            <w:vAlign w:val="center"/>
          </w:tcPr>
          <w:p>
            <w:r/>
            <w:r>
              <w:rPr>
                <w:rFonts w:ascii="Arial" w:hAnsi="Arial" w:eastAsia="Arial"/>
                <w:b w:val="0"/>
                <w:sz w:val="17"/>
              </w:rPr>
              <w:t>Provides stable reference potential</w:t>
            </w:r>
          </w:p>
        </w:tc>
      </w:tr>
      <w:tr>
        <w:tc>
          <w:tcPr>
            <w:tcW w:type="dxa" w:w="5112"/>
            <w:vAlign w:val="center"/>
          </w:tcPr>
          <w:p>
            <w:r/>
            <w:r>
              <w:rPr>
                <w:rFonts w:ascii="Arial" w:hAnsi="Arial" w:eastAsia="Arial"/>
                <w:b w:val="0"/>
                <w:sz w:val="17"/>
              </w:rPr>
              <w:t>Counter electrode</w:t>
            </w:r>
          </w:p>
        </w:tc>
        <w:tc>
          <w:tcPr>
            <w:tcW w:type="dxa" w:w="5112"/>
            <w:vAlign w:val="center"/>
          </w:tcPr>
          <w:p>
            <w:r/>
            <w:r>
              <w:rPr>
                <w:rFonts w:ascii="Arial" w:hAnsi="Arial" w:eastAsia="Arial"/>
                <w:b w:val="0"/>
                <w:sz w:val="17"/>
              </w:rPr>
              <w:t>Completes the electrochemical circuit</w:t>
            </w:r>
          </w:p>
        </w:tc>
      </w:tr>
    </w:tbl>
    <w:p/>
    <w:p>
      <w:pPr>
        <w:pStyle w:val="Heading1"/>
      </w:pPr>
      <w:r>
        <w:t>6. Detection Model Intent</w:t>
      </w:r>
    </w:p>
    <w:p>
      <w:r>
        <w:rPr>
          <w:rFonts w:ascii="Arial" w:hAnsi="Arial" w:eastAsia="Arial"/>
          <w:sz w:val="20"/>
        </w:rPr>
        <w:t>The protocol should be framed as a glucose detection model, not as a final diagnostic product. The intention is to demonstrate how a biosensor assay can be structured, automated in parts, and analyzed through concentration-dependent response.</w:t>
      </w:r>
    </w:p>
    <w:p>
      <w:r>
        <w:rPr>
          <w:rFonts w:ascii="Arial" w:hAnsi="Arial" w:eastAsia="Arial"/>
          <w:sz w:val="20"/>
        </w:rPr>
        <w:t>For educational use, glucose standards in buffer are preferred. Biological samples such as blood, serum, saliva, or food extracts should not be used unless the laboratory has appropriate safety, ethics, and validation arrangements.</w:t>
      </w:r>
    </w:p>
    <w:p>
      <w:pPr>
        <w:pStyle w:val="Heading1"/>
      </w:pPr>
      <w:r>
        <w:t>7. How This Protocol Differs from Nanoparticle and Hydrogel Protocols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shd w:fill="1F4E79"/>
          </w:tcPr>
          <w:p>
            <w:r/>
            <w:r>
              <w:rPr>
                <w:rFonts w:ascii="Arial" w:hAnsi="Arial" w:eastAsia="Arial"/>
                <w:b/>
                <w:color w:val="FFFFFF"/>
                <w:sz w:val="17"/>
              </w:rPr>
              <w:t>Protocol group</w:t>
            </w:r>
          </w:p>
        </w:tc>
        <w:tc>
          <w:tcPr>
            <w:tcW w:type="dxa" w:w="3408"/>
            <w:vAlign w:val="center"/>
            <w:shd w:fill="1F4E79"/>
          </w:tcPr>
          <w:p>
            <w:r/>
            <w:r>
              <w:rPr>
                <w:rFonts w:ascii="Arial" w:hAnsi="Arial" w:eastAsia="Arial"/>
                <w:b/>
                <w:color w:val="FFFFFF"/>
                <w:sz w:val="17"/>
              </w:rPr>
              <w:t>Main output</w:t>
            </w:r>
          </w:p>
        </w:tc>
        <w:tc>
          <w:tcPr>
            <w:tcW w:type="dxa" w:w="3408"/>
            <w:vAlign w:val="center"/>
            <w:shd w:fill="1F4E79"/>
          </w:tcPr>
          <w:p>
            <w:r/>
            <w:r>
              <w:rPr>
                <w:rFonts w:ascii="Arial" w:hAnsi="Arial" w:eastAsia="Arial"/>
                <w:b/>
                <w:color w:val="FFFFFF"/>
                <w:sz w:val="17"/>
              </w:rPr>
              <w:t>Main scientific focus</w:t>
            </w:r>
          </w:p>
        </w:tc>
      </w:tr>
      <w:tr>
        <w:tc>
          <w:tcPr>
            <w:tcW w:type="dxa" w:w="3408"/>
            <w:vAlign w:val="center"/>
          </w:tcPr>
          <w:p>
            <w:r/>
            <w:r>
              <w:rPr>
                <w:rFonts w:ascii="Arial" w:hAnsi="Arial" w:eastAsia="Arial"/>
                <w:b w:val="0"/>
                <w:sz w:val="17"/>
              </w:rPr>
              <w:t>Nanoparticle synthesis protocols</w:t>
            </w:r>
          </w:p>
        </w:tc>
        <w:tc>
          <w:tcPr>
            <w:tcW w:type="dxa" w:w="3408"/>
            <w:vAlign w:val="center"/>
          </w:tcPr>
          <w:p>
            <w:r/>
            <w:r>
              <w:rPr>
                <w:rFonts w:ascii="Arial" w:hAnsi="Arial" w:eastAsia="Arial"/>
                <w:b w:val="0"/>
                <w:sz w:val="17"/>
              </w:rPr>
              <w:t>Nanoparticle dispersion</w:t>
            </w:r>
          </w:p>
        </w:tc>
        <w:tc>
          <w:tcPr>
            <w:tcW w:type="dxa" w:w="3408"/>
            <w:vAlign w:val="center"/>
          </w:tcPr>
          <w:p>
            <w:r/>
            <w:r>
              <w:rPr>
                <w:rFonts w:ascii="Arial" w:hAnsi="Arial" w:eastAsia="Arial"/>
                <w:b w:val="0"/>
                <w:sz w:val="17"/>
              </w:rPr>
              <w:t>Material preparation and formulation</w:t>
            </w:r>
          </w:p>
        </w:tc>
      </w:tr>
      <w:tr>
        <w:tc>
          <w:tcPr>
            <w:tcW w:type="dxa" w:w="3408"/>
            <w:vAlign w:val="center"/>
          </w:tcPr>
          <w:p>
            <w:r/>
            <w:r>
              <w:rPr>
                <w:rFonts w:ascii="Arial" w:hAnsi="Arial" w:eastAsia="Arial"/>
                <w:b w:val="0"/>
                <w:sz w:val="17"/>
              </w:rPr>
              <w:t>Hydrogel protocol</w:t>
            </w:r>
          </w:p>
        </w:tc>
        <w:tc>
          <w:tcPr>
            <w:tcW w:type="dxa" w:w="3408"/>
            <w:vAlign w:val="center"/>
          </w:tcPr>
          <w:p>
            <w:r/>
            <w:r>
              <w:rPr>
                <w:rFonts w:ascii="Arial" w:hAnsi="Arial" w:eastAsia="Arial"/>
                <w:b w:val="0"/>
                <w:sz w:val="17"/>
              </w:rPr>
              <w:t>Semi-solid hydrogel matrix</w:t>
            </w:r>
          </w:p>
        </w:tc>
        <w:tc>
          <w:tcPr>
            <w:tcW w:type="dxa" w:w="3408"/>
            <w:vAlign w:val="center"/>
          </w:tcPr>
          <w:p>
            <w:r/>
            <w:r>
              <w:rPr>
                <w:rFonts w:ascii="Arial" w:hAnsi="Arial" w:eastAsia="Arial"/>
                <w:b w:val="0"/>
                <w:sz w:val="17"/>
              </w:rPr>
              <w:t>Polymer hydration and gel development</w:t>
            </w:r>
          </w:p>
        </w:tc>
      </w:tr>
      <w:tr>
        <w:tc>
          <w:tcPr>
            <w:tcW w:type="dxa" w:w="3408"/>
            <w:vAlign w:val="center"/>
          </w:tcPr>
          <w:p>
            <w:r/>
            <w:r>
              <w:rPr>
                <w:rFonts w:ascii="Arial" w:hAnsi="Arial" w:eastAsia="Arial"/>
                <w:b w:val="0"/>
                <w:sz w:val="17"/>
              </w:rPr>
              <w:t>Protein corona / conjugation protocols</w:t>
            </w:r>
          </w:p>
        </w:tc>
        <w:tc>
          <w:tcPr>
            <w:tcW w:type="dxa" w:w="3408"/>
            <w:vAlign w:val="center"/>
          </w:tcPr>
          <w:p>
            <w:r/>
            <w:r>
              <w:rPr>
                <w:rFonts w:ascii="Arial" w:hAnsi="Arial" w:eastAsia="Arial"/>
                <w:b w:val="0"/>
                <w:sz w:val="17"/>
              </w:rPr>
              <w:t>Nano-biointerface complex</w:t>
            </w:r>
          </w:p>
        </w:tc>
        <w:tc>
          <w:tcPr>
            <w:tcW w:type="dxa" w:w="3408"/>
            <w:vAlign w:val="center"/>
          </w:tcPr>
          <w:p>
            <w:r/>
            <w:r>
              <w:rPr>
                <w:rFonts w:ascii="Arial" w:hAnsi="Arial" w:eastAsia="Arial"/>
                <w:b w:val="0"/>
                <w:sz w:val="17"/>
              </w:rPr>
              <w:t>Biomolecular interaction and functionalization</w:t>
            </w:r>
          </w:p>
        </w:tc>
      </w:tr>
      <w:tr>
        <w:tc>
          <w:tcPr>
            <w:tcW w:type="dxa" w:w="3408"/>
            <w:vAlign w:val="center"/>
          </w:tcPr>
          <w:p>
            <w:r/>
            <w:r>
              <w:rPr>
                <w:rFonts w:ascii="Arial" w:hAnsi="Arial" w:eastAsia="Arial"/>
                <w:b w:val="0"/>
                <w:sz w:val="17"/>
              </w:rPr>
              <w:t>Electrochemical glucose detection</w:t>
            </w:r>
          </w:p>
        </w:tc>
        <w:tc>
          <w:tcPr>
            <w:tcW w:type="dxa" w:w="3408"/>
            <w:vAlign w:val="center"/>
          </w:tcPr>
          <w:p>
            <w:r/>
            <w:r>
              <w:rPr>
                <w:rFonts w:ascii="Arial" w:hAnsi="Arial" w:eastAsia="Arial"/>
                <w:b w:val="0"/>
                <w:sz w:val="17"/>
              </w:rPr>
              <w:t>Electrochemical response data</w:t>
            </w:r>
          </w:p>
        </w:tc>
        <w:tc>
          <w:tcPr>
            <w:tcW w:type="dxa" w:w="3408"/>
            <w:vAlign w:val="center"/>
          </w:tcPr>
          <w:p>
            <w:r/>
            <w:r>
              <w:rPr>
                <w:rFonts w:ascii="Arial" w:hAnsi="Arial" w:eastAsia="Arial"/>
                <w:b w:val="0"/>
                <w:sz w:val="17"/>
              </w:rPr>
              <w:t>Biosensor assay and analytical measurement</w:t>
            </w:r>
          </w:p>
        </w:tc>
      </w:tr>
    </w:tbl>
    <w:p/>
    <w:p>
      <w:r>
        <w:rPr>
          <w:rFonts w:ascii="Arial" w:hAnsi="Arial" w:eastAsia="Arial"/>
          <w:sz w:val="20"/>
        </w:rPr>
        <w:t>Protocol 15 is different because the main product is not only a material sample; the main output is a measurable electrochemical response that must be interpreted through analytical data processing.</w:t>
      </w:r>
    </w:p>
    <w:p>
      <w:pPr>
        <w:pStyle w:val="Heading1"/>
      </w:pPr>
      <w:r>
        <w:t>8. Role of Protoly in This Protocol</w:t>
      </w:r>
    </w:p>
    <w:p>
      <w:r>
        <w:rPr>
          <w:rFonts w:ascii="Arial" w:hAnsi="Arial" w:eastAsia="Arial"/>
          <w:sz w:val="20"/>
        </w:rPr>
        <w:t>Protoly acts as the protocol management layer. It allows the assay to be written as a structured sequence instead of a loose method paragraph. This is important because electrochemical assays depend heavily on timing, reagent order, electrode condition, and measurement sequence.</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Protoly function</w:t>
            </w:r>
          </w:p>
        </w:tc>
        <w:tc>
          <w:tcPr>
            <w:tcW w:type="dxa" w:w="5112"/>
            <w:vAlign w:val="center"/>
            <w:shd w:fill="1F4E79"/>
          </w:tcPr>
          <w:p>
            <w:r/>
            <w:r>
              <w:rPr>
                <w:rFonts w:ascii="Arial" w:hAnsi="Arial" w:eastAsia="Arial"/>
                <w:b/>
                <w:color w:val="FFFFFF"/>
                <w:sz w:val="17"/>
              </w:rPr>
              <w:t>Benefit</w:t>
            </w:r>
          </w:p>
        </w:tc>
      </w:tr>
      <w:tr>
        <w:tc>
          <w:tcPr>
            <w:tcW w:type="dxa" w:w="5112"/>
            <w:vAlign w:val="center"/>
          </w:tcPr>
          <w:p>
            <w:r/>
            <w:r>
              <w:rPr>
                <w:rFonts w:ascii="Arial" w:hAnsi="Arial" w:eastAsia="Arial"/>
                <w:b w:val="0"/>
                <w:sz w:val="17"/>
              </w:rPr>
              <w:t>Defines assay steps</w:t>
            </w:r>
          </w:p>
        </w:tc>
        <w:tc>
          <w:tcPr>
            <w:tcW w:type="dxa" w:w="5112"/>
            <w:vAlign w:val="center"/>
          </w:tcPr>
          <w:p>
            <w:r/>
            <w:r>
              <w:rPr>
                <w:rFonts w:ascii="Arial" w:hAnsi="Arial" w:eastAsia="Arial"/>
                <w:b w:val="0"/>
                <w:sz w:val="17"/>
              </w:rPr>
              <w:t>Makes the workflow easier to follow and repeat</w:t>
            </w:r>
          </w:p>
        </w:tc>
      </w:tr>
      <w:tr>
        <w:tc>
          <w:tcPr>
            <w:tcW w:type="dxa" w:w="5112"/>
            <w:vAlign w:val="center"/>
          </w:tcPr>
          <w:p>
            <w:r/>
            <w:r>
              <w:rPr>
                <w:rFonts w:ascii="Arial" w:hAnsi="Arial" w:eastAsia="Arial"/>
                <w:b w:val="0"/>
                <w:sz w:val="17"/>
              </w:rPr>
              <w:t>Links reagents to steps</w:t>
            </w:r>
          </w:p>
        </w:tc>
        <w:tc>
          <w:tcPr>
            <w:tcW w:type="dxa" w:w="5112"/>
            <w:vAlign w:val="center"/>
          </w:tcPr>
          <w:p>
            <w:r/>
            <w:r>
              <w:rPr>
                <w:rFonts w:ascii="Arial" w:hAnsi="Arial" w:eastAsia="Arial"/>
                <w:b w:val="0"/>
                <w:sz w:val="17"/>
              </w:rPr>
              <w:t>Improves clarity of buffer, enzyme, mediator, and glucose standard additions</w:t>
            </w:r>
          </w:p>
        </w:tc>
      </w:tr>
      <w:tr>
        <w:tc>
          <w:tcPr>
            <w:tcW w:type="dxa" w:w="5112"/>
            <w:vAlign w:val="center"/>
          </w:tcPr>
          <w:p>
            <w:r/>
            <w:r>
              <w:rPr>
                <w:rFonts w:ascii="Arial" w:hAnsi="Arial" w:eastAsia="Arial"/>
                <w:b w:val="0"/>
                <w:sz w:val="17"/>
              </w:rPr>
              <w:t>Records timing and sequence</w:t>
            </w:r>
          </w:p>
        </w:tc>
        <w:tc>
          <w:tcPr>
            <w:tcW w:type="dxa" w:w="5112"/>
            <w:vAlign w:val="center"/>
          </w:tcPr>
          <w:p>
            <w:r/>
            <w:r>
              <w:rPr>
                <w:rFonts w:ascii="Arial" w:hAnsi="Arial" w:eastAsia="Arial"/>
                <w:b w:val="0"/>
                <w:sz w:val="17"/>
              </w:rPr>
              <w:t>Supports fair comparison between glucose concentrations</w:t>
            </w:r>
          </w:p>
        </w:tc>
      </w:tr>
      <w:tr>
        <w:tc>
          <w:tcPr>
            <w:tcW w:type="dxa" w:w="5112"/>
            <w:vAlign w:val="center"/>
          </w:tcPr>
          <w:p>
            <w:r/>
            <w:r>
              <w:rPr>
                <w:rFonts w:ascii="Arial" w:hAnsi="Arial" w:eastAsia="Arial"/>
                <w:b w:val="0"/>
                <w:sz w:val="17"/>
              </w:rPr>
              <w:t>Separates NSL and offline steps</w:t>
            </w:r>
          </w:p>
        </w:tc>
        <w:tc>
          <w:tcPr>
            <w:tcW w:type="dxa" w:w="5112"/>
            <w:vAlign w:val="center"/>
          </w:tcPr>
          <w:p>
            <w:r/>
            <w:r>
              <w:rPr>
                <w:rFonts w:ascii="Arial" w:hAnsi="Arial" w:eastAsia="Arial"/>
                <w:b w:val="0"/>
                <w:sz w:val="17"/>
              </w:rPr>
              <w:t>Prevents overclaiming about system capability</w:t>
            </w:r>
          </w:p>
        </w:tc>
      </w:tr>
      <w:tr>
        <w:tc>
          <w:tcPr>
            <w:tcW w:type="dxa" w:w="5112"/>
            <w:vAlign w:val="center"/>
          </w:tcPr>
          <w:p>
            <w:r/>
            <w:r>
              <w:rPr>
                <w:rFonts w:ascii="Arial" w:hAnsi="Arial" w:eastAsia="Arial"/>
                <w:b w:val="0"/>
                <w:sz w:val="17"/>
              </w:rPr>
              <w:t>Supports webinar explanation</w:t>
            </w:r>
          </w:p>
        </w:tc>
        <w:tc>
          <w:tcPr>
            <w:tcW w:type="dxa" w:w="5112"/>
            <w:vAlign w:val="center"/>
          </w:tcPr>
          <w:p>
            <w:r/>
            <w:r>
              <w:rPr>
                <w:rFonts w:ascii="Arial" w:hAnsi="Arial" w:eastAsia="Arial"/>
                <w:b w:val="0"/>
                <w:sz w:val="17"/>
              </w:rPr>
              <w:t>Shows how biosensor assays can be digitized and organized</w:t>
            </w:r>
          </w:p>
        </w:tc>
      </w:tr>
    </w:tbl>
    <w:p/>
    <w:p>
      <w:pPr>
        <w:pStyle w:val="Heading1"/>
      </w:pPr>
      <w:r>
        <w:t>9. Role of NSL Modules</w:t>
      </w:r>
    </w:p>
    <w:p>
      <w:pPr>
        <w:pStyle w:val="Heading2"/>
      </w:pPr>
      <w:r>
        <w:t>9.1 Electrochemical Module</w:t>
      </w:r>
    </w:p>
    <w:p>
      <w:r>
        <w:rPr>
          <w:rFonts w:ascii="Arial" w:hAnsi="Arial" w:eastAsia="Arial"/>
          <w:sz w:val="20"/>
        </w:rPr>
        <w:t>The Electrochemical Module is the key NSL module for this protocol. It can apply defined electrical conditions to the electrode setup. The exact mode, voltage/current range, and duration should be selected according to the chosen assay chemistry and electrode system.</w:t>
      </w:r>
    </w:p>
    <w:p>
      <w:pPr>
        <w:pStyle w:val="Heading2"/>
      </w:pPr>
      <w:r>
        <w:t>9.2 Reservoir Dispense</w:t>
      </w:r>
    </w:p>
    <w:p>
      <w:r>
        <w:rPr>
          <w:rFonts w:ascii="Arial" w:hAnsi="Arial" w:eastAsia="Arial"/>
          <w:sz w:val="20"/>
        </w:rPr>
        <w:t>Reservoir dispensing supports controlled addition of buffer, glucose standards, enzyme solution, mediator/electrolyte, and washing solution. This is important because small differences in addition volume or sequence can affect assay response.</w:t>
      </w:r>
    </w:p>
    <w:p>
      <w:pPr>
        <w:pStyle w:val="Heading2"/>
      </w:pPr>
      <w:r>
        <w:t>9.3 Wait</w:t>
      </w:r>
    </w:p>
    <w:p>
      <w:r>
        <w:rPr>
          <w:rFonts w:ascii="Arial" w:hAnsi="Arial" w:eastAsia="Arial"/>
          <w:sz w:val="20"/>
        </w:rPr>
        <w:t>Timed waiting is important for baseline stabilization, enzyme reaction time, and post-addition equilibration. Fixed timing improves comparability across glucose concentrations.</w:t>
      </w:r>
    </w:p>
    <w:p>
      <w:pPr>
        <w:pStyle w:val="Heading2"/>
      </w:pPr>
      <w:r>
        <w:t>9.4 Stirrer</w:t>
      </w:r>
    </w:p>
    <w:p>
      <w:r>
        <w:rPr>
          <w:rFonts w:ascii="Arial" w:hAnsi="Arial" w:eastAsia="Arial"/>
          <w:sz w:val="20"/>
        </w:rPr>
        <w:t>Gentle stirring can help distribute reagents and reduce concentration gradients. However, excessive stirring may introduce bubbles or disturb electrode response, so it should be used carefully.</w:t>
      </w:r>
    </w:p>
    <w:p>
      <w:pPr>
        <w:pStyle w:val="Heading2"/>
      </w:pPr>
      <w:r>
        <w:t>9.5 Illumination and Camera</w:t>
      </w:r>
    </w:p>
    <w:p>
      <w:r>
        <w:rPr>
          <w:rFonts w:ascii="Arial" w:hAnsi="Arial" w:eastAsia="Arial"/>
          <w:sz w:val="20"/>
        </w:rPr>
        <w:t>LED illumination and camera support provide visual documentation of the assay setup. They do not provide quantitative absorbance or fluorescence measurement in this protocol.</w:t>
      </w:r>
    </w:p>
    <w:p>
      <w:pPr>
        <w:pStyle w:val="Heading2"/>
      </w:pPr>
      <w:r>
        <w:t>9.6 Environment Sensors</w:t>
      </w:r>
    </w:p>
    <w:p>
      <w:r>
        <w:rPr>
          <w:rFonts w:ascii="Arial" w:hAnsi="Arial" w:eastAsia="Arial"/>
          <w:sz w:val="20"/>
        </w:rPr>
        <w:t>Environment sensors can record ambient chamber conditions. This is useful for documentation, especially because temperature and humidity can influence enzyme and electrode behaviour.</w:t>
      </w:r>
    </w:p>
    <w:p>
      <w:pPr>
        <w:pStyle w:val="Heading1"/>
      </w:pPr>
      <w:r>
        <w:t>10. Key Reagents and Their Purpose</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Reagent / material</w:t>
            </w:r>
          </w:p>
        </w:tc>
        <w:tc>
          <w:tcPr>
            <w:tcW w:type="dxa" w:w="5112"/>
            <w:vAlign w:val="center"/>
            <w:shd w:fill="1F4E79"/>
          </w:tcPr>
          <w:p>
            <w:r/>
            <w:r>
              <w:rPr>
                <w:rFonts w:ascii="Arial" w:hAnsi="Arial" w:eastAsia="Arial"/>
                <w:b/>
                <w:color w:val="FFFFFF"/>
                <w:sz w:val="17"/>
              </w:rPr>
              <w:t>Purpose</w:t>
            </w:r>
          </w:p>
        </w:tc>
      </w:tr>
      <w:tr>
        <w:tc>
          <w:tcPr>
            <w:tcW w:type="dxa" w:w="5112"/>
            <w:vAlign w:val="center"/>
          </w:tcPr>
          <w:p>
            <w:r/>
            <w:r>
              <w:rPr>
                <w:rFonts w:ascii="Arial" w:hAnsi="Arial" w:eastAsia="Arial"/>
                <w:b w:val="0"/>
                <w:sz w:val="17"/>
              </w:rPr>
              <w:t>Assay buffer</w:t>
            </w:r>
          </w:p>
        </w:tc>
        <w:tc>
          <w:tcPr>
            <w:tcW w:type="dxa" w:w="5112"/>
            <w:vAlign w:val="center"/>
          </w:tcPr>
          <w:p>
            <w:r/>
            <w:r>
              <w:rPr>
                <w:rFonts w:ascii="Arial" w:hAnsi="Arial" w:eastAsia="Arial"/>
                <w:b w:val="0"/>
                <w:sz w:val="17"/>
              </w:rPr>
              <w:t>Maintains suitable ionic environment and pH range for enzyme activity and electrochemical measurement</w:t>
            </w:r>
          </w:p>
        </w:tc>
      </w:tr>
      <w:tr>
        <w:tc>
          <w:tcPr>
            <w:tcW w:type="dxa" w:w="5112"/>
            <w:vAlign w:val="center"/>
          </w:tcPr>
          <w:p>
            <w:r/>
            <w:r>
              <w:rPr>
                <w:rFonts w:ascii="Arial" w:hAnsi="Arial" w:eastAsia="Arial"/>
                <w:b w:val="0"/>
                <w:sz w:val="17"/>
              </w:rPr>
              <w:t>Glucose standard solution</w:t>
            </w:r>
          </w:p>
        </w:tc>
        <w:tc>
          <w:tcPr>
            <w:tcW w:type="dxa" w:w="5112"/>
            <w:vAlign w:val="center"/>
          </w:tcPr>
          <w:p>
            <w:r/>
            <w:r>
              <w:rPr>
                <w:rFonts w:ascii="Arial" w:hAnsi="Arial" w:eastAsia="Arial"/>
                <w:b w:val="0"/>
                <w:sz w:val="17"/>
              </w:rPr>
              <w:t>Provides known analyte concentrations for response comparison</w:t>
            </w:r>
          </w:p>
        </w:tc>
      </w:tr>
      <w:tr>
        <w:tc>
          <w:tcPr>
            <w:tcW w:type="dxa" w:w="5112"/>
            <w:vAlign w:val="center"/>
          </w:tcPr>
          <w:p>
            <w:r/>
            <w:r>
              <w:rPr>
                <w:rFonts w:ascii="Arial" w:hAnsi="Arial" w:eastAsia="Arial"/>
                <w:b w:val="0"/>
                <w:sz w:val="17"/>
              </w:rPr>
              <w:t>Glucose oxidase</w:t>
            </w:r>
          </w:p>
        </w:tc>
        <w:tc>
          <w:tcPr>
            <w:tcW w:type="dxa" w:w="5112"/>
            <w:vAlign w:val="center"/>
          </w:tcPr>
          <w:p>
            <w:r/>
            <w:r>
              <w:rPr>
                <w:rFonts w:ascii="Arial" w:hAnsi="Arial" w:eastAsia="Arial"/>
                <w:b w:val="0"/>
                <w:sz w:val="17"/>
              </w:rPr>
              <w:t>Catalyzes glucose reaction in the biosensor model</w:t>
            </w:r>
          </w:p>
        </w:tc>
      </w:tr>
      <w:tr>
        <w:tc>
          <w:tcPr>
            <w:tcW w:type="dxa" w:w="5112"/>
            <w:vAlign w:val="center"/>
          </w:tcPr>
          <w:p>
            <w:r/>
            <w:r>
              <w:rPr>
                <w:rFonts w:ascii="Arial" w:hAnsi="Arial" w:eastAsia="Arial"/>
                <w:b w:val="0"/>
                <w:sz w:val="17"/>
              </w:rPr>
              <w:t>Mediator solution, if used</w:t>
            </w:r>
          </w:p>
        </w:tc>
        <w:tc>
          <w:tcPr>
            <w:tcW w:type="dxa" w:w="5112"/>
            <w:vAlign w:val="center"/>
          </w:tcPr>
          <w:p>
            <w:r/>
            <w:r>
              <w:rPr>
                <w:rFonts w:ascii="Arial" w:hAnsi="Arial" w:eastAsia="Arial"/>
                <w:b w:val="0"/>
                <w:sz w:val="17"/>
              </w:rPr>
              <w:t>Supports electron transfer and improves measurable electrochemical response</w:t>
            </w:r>
          </w:p>
        </w:tc>
      </w:tr>
      <w:tr>
        <w:tc>
          <w:tcPr>
            <w:tcW w:type="dxa" w:w="5112"/>
            <w:vAlign w:val="center"/>
          </w:tcPr>
          <w:p>
            <w:r/>
            <w:r>
              <w:rPr>
                <w:rFonts w:ascii="Arial" w:hAnsi="Arial" w:eastAsia="Arial"/>
                <w:b w:val="0"/>
                <w:sz w:val="17"/>
              </w:rPr>
              <w:t>Electrolyte solution</w:t>
            </w:r>
          </w:p>
        </w:tc>
        <w:tc>
          <w:tcPr>
            <w:tcW w:type="dxa" w:w="5112"/>
            <w:vAlign w:val="center"/>
          </w:tcPr>
          <w:p>
            <w:r/>
            <w:r>
              <w:rPr>
                <w:rFonts w:ascii="Arial" w:hAnsi="Arial" w:eastAsia="Arial"/>
                <w:b w:val="0"/>
                <w:sz w:val="17"/>
              </w:rPr>
              <w:t>Improves conductivity and supports electrochemical measurement</w:t>
            </w:r>
          </w:p>
        </w:tc>
      </w:tr>
      <w:tr>
        <w:tc>
          <w:tcPr>
            <w:tcW w:type="dxa" w:w="5112"/>
            <w:vAlign w:val="center"/>
          </w:tcPr>
          <w:p>
            <w:r/>
            <w:r>
              <w:rPr>
                <w:rFonts w:ascii="Arial" w:hAnsi="Arial" w:eastAsia="Arial"/>
                <w:b w:val="0"/>
                <w:sz w:val="17"/>
              </w:rPr>
              <w:t>Washing medium</w:t>
            </w:r>
          </w:p>
        </w:tc>
        <w:tc>
          <w:tcPr>
            <w:tcW w:type="dxa" w:w="5112"/>
            <w:vAlign w:val="center"/>
          </w:tcPr>
          <w:p>
            <w:r/>
            <w:r>
              <w:rPr>
                <w:rFonts w:ascii="Arial" w:hAnsi="Arial" w:eastAsia="Arial"/>
                <w:b w:val="0"/>
                <w:sz w:val="17"/>
              </w:rPr>
              <w:t>Used for rinsing or resetting electrode/surface between runs where required</w:t>
            </w:r>
          </w:p>
        </w:tc>
      </w:tr>
      <w:tr>
        <w:tc>
          <w:tcPr>
            <w:tcW w:type="dxa" w:w="5112"/>
            <w:vAlign w:val="center"/>
          </w:tcPr>
          <w:p>
            <w:r/>
            <w:r>
              <w:rPr>
                <w:rFonts w:ascii="Arial" w:hAnsi="Arial" w:eastAsia="Arial"/>
                <w:b w:val="0"/>
                <w:sz w:val="17"/>
              </w:rPr>
              <w:t>Electrode system</w:t>
            </w:r>
          </w:p>
        </w:tc>
        <w:tc>
          <w:tcPr>
            <w:tcW w:type="dxa" w:w="5112"/>
            <w:vAlign w:val="center"/>
          </w:tcPr>
          <w:p>
            <w:r/>
            <w:r>
              <w:rPr>
                <w:rFonts w:ascii="Arial" w:hAnsi="Arial" w:eastAsia="Arial"/>
                <w:b w:val="0"/>
                <w:sz w:val="17"/>
              </w:rPr>
              <w:t>Transduces biochemical reaction into electrochemical response</w:t>
            </w:r>
          </w:p>
        </w:tc>
      </w:tr>
    </w:tbl>
    <w:p/>
    <w:p>
      <w:pPr>
        <w:pStyle w:val="Heading1"/>
      </w:pPr>
      <w:r>
        <w:t>11. Important Assay Variables</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Variable</w:t>
            </w:r>
          </w:p>
        </w:tc>
        <w:tc>
          <w:tcPr>
            <w:tcW w:type="dxa" w:w="5112"/>
            <w:vAlign w:val="center"/>
            <w:shd w:fill="1F4E79"/>
          </w:tcPr>
          <w:p>
            <w:r/>
            <w:r>
              <w:rPr>
                <w:rFonts w:ascii="Arial" w:hAnsi="Arial" w:eastAsia="Arial"/>
                <w:b/>
                <w:color w:val="FFFFFF"/>
                <w:sz w:val="17"/>
              </w:rPr>
              <w:t>Why it matters</w:t>
            </w:r>
          </w:p>
        </w:tc>
      </w:tr>
      <w:tr>
        <w:tc>
          <w:tcPr>
            <w:tcW w:type="dxa" w:w="5112"/>
            <w:vAlign w:val="center"/>
          </w:tcPr>
          <w:p>
            <w:r/>
            <w:r>
              <w:rPr>
                <w:rFonts w:ascii="Arial" w:hAnsi="Arial" w:eastAsia="Arial"/>
                <w:b w:val="0"/>
                <w:sz w:val="17"/>
              </w:rPr>
              <w:t>Glucose concentration</w:t>
            </w:r>
          </w:p>
        </w:tc>
        <w:tc>
          <w:tcPr>
            <w:tcW w:type="dxa" w:w="5112"/>
            <w:vAlign w:val="center"/>
          </w:tcPr>
          <w:p>
            <w:r/>
            <w:r>
              <w:rPr>
                <w:rFonts w:ascii="Arial" w:hAnsi="Arial" w:eastAsia="Arial"/>
                <w:b w:val="0"/>
                <w:sz w:val="17"/>
              </w:rPr>
              <w:t>Primary analyte level; should correlate with electrochemical response</w:t>
            </w:r>
          </w:p>
        </w:tc>
      </w:tr>
      <w:tr>
        <w:tc>
          <w:tcPr>
            <w:tcW w:type="dxa" w:w="5112"/>
            <w:vAlign w:val="center"/>
          </w:tcPr>
          <w:p>
            <w:r/>
            <w:r>
              <w:rPr>
                <w:rFonts w:ascii="Arial" w:hAnsi="Arial" w:eastAsia="Arial"/>
                <w:b w:val="0"/>
                <w:sz w:val="17"/>
              </w:rPr>
              <w:t>Enzyme concentration or immobilization density</w:t>
            </w:r>
          </w:p>
        </w:tc>
        <w:tc>
          <w:tcPr>
            <w:tcW w:type="dxa" w:w="5112"/>
            <w:vAlign w:val="center"/>
          </w:tcPr>
          <w:p>
            <w:r/>
            <w:r>
              <w:rPr>
                <w:rFonts w:ascii="Arial" w:hAnsi="Arial" w:eastAsia="Arial"/>
                <w:b w:val="0"/>
                <w:sz w:val="17"/>
              </w:rPr>
              <w:t>Affects reaction rate and signal intensity</w:t>
            </w:r>
          </w:p>
        </w:tc>
      </w:tr>
      <w:tr>
        <w:tc>
          <w:tcPr>
            <w:tcW w:type="dxa" w:w="5112"/>
            <w:vAlign w:val="center"/>
          </w:tcPr>
          <w:p>
            <w:r/>
            <w:r>
              <w:rPr>
                <w:rFonts w:ascii="Arial" w:hAnsi="Arial" w:eastAsia="Arial"/>
                <w:b w:val="0"/>
                <w:sz w:val="17"/>
              </w:rPr>
              <w:t>Mediator concentration</w:t>
            </w:r>
          </w:p>
        </w:tc>
        <w:tc>
          <w:tcPr>
            <w:tcW w:type="dxa" w:w="5112"/>
            <w:vAlign w:val="center"/>
          </w:tcPr>
          <w:p>
            <w:r/>
            <w:r>
              <w:rPr>
                <w:rFonts w:ascii="Arial" w:hAnsi="Arial" w:eastAsia="Arial"/>
                <w:b w:val="0"/>
                <w:sz w:val="17"/>
              </w:rPr>
              <w:t>Influences electron transfer and background current</w:t>
            </w:r>
          </w:p>
        </w:tc>
      </w:tr>
      <w:tr>
        <w:tc>
          <w:tcPr>
            <w:tcW w:type="dxa" w:w="5112"/>
            <w:vAlign w:val="center"/>
          </w:tcPr>
          <w:p>
            <w:r/>
            <w:r>
              <w:rPr>
                <w:rFonts w:ascii="Arial" w:hAnsi="Arial" w:eastAsia="Arial"/>
                <w:b w:val="0"/>
                <w:sz w:val="17"/>
              </w:rPr>
              <w:t>Incubation time</w:t>
            </w:r>
          </w:p>
        </w:tc>
        <w:tc>
          <w:tcPr>
            <w:tcW w:type="dxa" w:w="5112"/>
            <w:vAlign w:val="center"/>
          </w:tcPr>
          <w:p>
            <w:r/>
            <w:r>
              <w:rPr>
                <w:rFonts w:ascii="Arial" w:hAnsi="Arial" w:eastAsia="Arial"/>
                <w:b w:val="0"/>
                <w:sz w:val="17"/>
              </w:rPr>
              <w:t>Controls how long the enzyme reaction proceeds before measurement</w:t>
            </w:r>
          </w:p>
        </w:tc>
      </w:tr>
      <w:tr>
        <w:tc>
          <w:tcPr>
            <w:tcW w:type="dxa" w:w="5112"/>
            <w:vAlign w:val="center"/>
          </w:tcPr>
          <w:p>
            <w:r/>
            <w:r>
              <w:rPr>
                <w:rFonts w:ascii="Arial" w:hAnsi="Arial" w:eastAsia="Arial"/>
                <w:b w:val="0"/>
                <w:sz w:val="17"/>
              </w:rPr>
              <w:t>Applied potential / measurement mode</w:t>
            </w:r>
          </w:p>
        </w:tc>
        <w:tc>
          <w:tcPr>
            <w:tcW w:type="dxa" w:w="5112"/>
            <w:vAlign w:val="center"/>
          </w:tcPr>
          <w:p>
            <w:r/>
            <w:r>
              <w:rPr>
                <w:rFonts w:ascii="Arial" w:hAnsi="Arial" w:eastAsia="Arial"/>
                <w:b w:val="0"/>
                <w:sz w:val="17"/>
              </w:rPr>
              <w:t>Determines which electrochemical process is monitored</w:t>
            </w:r>
          </w:p>
        </w:tc>
      </w:tr>
      <w:tr>
        <w:tc>
          <w:tcPr>
            <w:tcW w:type="dxa" w:w="5112"/>
            <w:vAlign w:val="center"/>
          </w:tcPr>
          <w:p>
            <w:r/>
            <w:r>
              <w:rPr>
                <w:rFonts w:ascii="Arial" w:hAnsi="Arial" w:eastAsia="Arial"/>
                <w:b w:val="0"/>
                <w:sz w:val="17"/>
              </w:rPr>
              <w:t>Electrode surface condition</w:t>
            </w:r>
          </w:p>
        </w:tc>
        <w:tc>
          <w:tcPr>
            <w:tcW w:type="dxa" w:w="5112"/>
            <w:vAlign w:val="center"/>
          </w:tcPr>
          <w:p>
            <w:r/>
            <w:r>
              <w:rPr>
                <w:rFonts w:ascii="Arial" w:hAnsi="Arial" w:eastAsia="Arial"/>
                <w:b w:val="0"/>
                <w:sz w:val="17"/>
              </w:rPr>
              <w:t>Strongly affects baseline, sensitivity, and repeatability</w:t>
            </w:r>
          </w:p>
        </w:tc>
      </w:tr>
      <w:tr>
        <w:tc>
          <w:tcPr>
            <w:tcW w:type="dxa" w:w="5112"/>
            <w:vAlign w:val="center"/>
          </w:tcPr>
          <w:p>
            <w:r/>
            <w:r>
              <w:rPr>
                <w:rFonts w:ascii="Arial" w:hAnsi="Arial" w:eastAsia="Arial"/>
                <w:b w:val="0"/>
                <w:sz w:val="17"/>
              </w:rPr>
              <w:t>Buffer composition</w:t>
            </w:r>
          </w:p>
        </w:tc>
        <w:tc>
          <w:tcPr>
            <w:tcW w:type="dxa" w:w="5112"/>
            <w:vAlign w:val="center"/>
          </w:tcPr>
          <w:p>
            <w:r/>
            <w:r>
              <w:rPr>
                <w:rFonts w:ascii="Arial" w:hAnsi="Arial" w:eastAsia="Arial"/>
                <w:b w:val="0"/>
                <w:sz w:val="17"/>
              </w:rPr>
              <w:t>Affects enzyme activity and electrochemical stability</w:t>
            </w:r>
          </w:p>
        </w:tc>
      </w:tr>
      <w:tr>
        <w:tc>
          <w:tcPr>
            <w:tcW w:type="dxa" w:w="5112"/>
            <w:vAlign w:val="center"/>
          </w:tcPr>
          <w:p>
            <w:r/>
            <w:r>
              <w:rPr>
                <w:rFonts w:ascii="Arial" w:hAnsi="Arial" w:eastAsia="Arial"/>
                <w:b w:val="0"/>
                <w:sz w:val="17"/>
              </w:rPr>
              <w:t>Temperature</w:t>
            </w:r>
          </w:p>
        </w:tc>
        <w:tc>
          <w:tcPr>
            <w:tcW w:type="dxa" w:w="5112"/>
            <w:vAlign w:val="center"/>
          </w:tcPr>
          <w:p>
            <w:r/>
            <w:r>
              <w:rPr>
                <w:rFonts w:ascii="Arial" w:hAnsi="Arial" w:eastAsia="Arial"/>
                <w:b w:val="0"/>
                <w:sz w:val="17"/>
              </w:rPr>
              <w:t>Influences enzyme kinetics and electrode response</w:t>
            </w:r>
          </w:p>
        </w:tc>
      </w:tr>
      <w:tr>
        <w:tc>
          <w:tcPr>
            <w:tcW w:type="dxa" w:w="5112"/>
            <w:vAlign w:val="center"/>
          </w:tcPr>
          <w:p>
            <w:r/>
            <w:r>
              <w:rPr>
                <w:rFonts w:ascii="Arial" w:hAnsi="Arial" w:eastAsia="Arial"/>
                <w:b w:val="0"/>
                <w:sz w:val="17"/>
              </w:rPr>
              <w:t>Interfering species</w:t>
            </w:r>
          </w:p>
        </w:tc>
        <w:tc>
          <w:tcPr>
            <w:tcW w:type="dxa" w:w="5112"/>
            <w:vAlign w:val="center"/>
          </w:tcPr>
          <w:p>
            <w:r/>
            <w:r>
              <w:rPr>
                <w:rFonts w:ascii="Arial" w:hAnsi="Arial" w:eastAsia="Arial"/>
                <w:b w:val="0"/>
                <w:sz w:val="17"/>
              </w:rPr>
              <w:t>May create non-glucose signal in real samples</w:t>
            </w:r>
          </w:p>
        </w:tc>
      </w:tr>
    </w:tbl>
    <w:p/>
    <w:p>
      <w:pPr>
        <w:pStyle w:val="Heading1"/>
      </w:pPr>
      <w:r>
        <w:t>12. Expected Observations and Data Behaviour</w:t>
      </w:r>
    </w:p>
    <w:p>
      <w:r>
        <w:rPr>
          <w:rFonts w:ascii="Arial" w:hAnsi="Arial" w:eastAsia="Arial"/>
          <w:sz w:val="20"/>
        </w:rPr>
        <w:t>A successful educational glucose detection model should show a measurable change in electrochemical response when glucose concentration is changed. The exact signal may be current, peak current, response slope, or another measurement feature depending on the selected electrochemical method.</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Observation</w:t>
            </w:r>
          </w:p>
        </w:tc>
        <w:tc>
          <w:tcPr>
            <w:tcW w:type="dxa" w:w="5112"/>
            <w:vAlign w:val="center"/>
            <w:shd w:fill="1F4E79"/>
          </w:tcPr>
          <w:p>
            <w:r/>
            <w:r>
              <w:rPr>
                <w:rFonts w:ascii="Arial" w:hAnsi="Arial" w:eastAsia="Arial"/>
                <w:b/>
                <w:color w:val="FFFFFF"/>
                <w:sz w:val="17"/>
              </w:rPr>
              <w:t>Possible interpretation</w:t>
            </w:r>
          </w:p>
        </w:tc>
      </w:tr>
      <w:tr>
        <w:tc>
          <w:tcPr>
            <w:tcW w:type="dxa" w:w="5112"/>
            <w:vAlign w:val="center"/>
          </w:tcPr>
          <w:p>
            <w:r/>
            <w:r>
              <w:rPr>
                <w:rFonts w:ascii="Arial" w:hAnsi="Arial" w:eastAsia="Arial"/>
                <w:b w:val="0"/>
                <w:sz w:val="17"/>
              </w:rPr>
              <w:t>Increasing response with increasing glucose concentration</w:t>
            </w:r>
          </w:p>
        </w:tc>
        <w:tc>
          <w:tcPr>
            <w:tcW w:type="dxa" w:w="5112"/>
            <w:vAlign w:val="center"/>
          </w:tcPr>
          <w:p>
            <w:r/>
            <w:r>
              <w:rPr>
                <w:rFonts w:ascii="Arial" w:hAnsi="Arial" w:eastAsia="Arial"/>
                <w:b w:val="0"/>
                <w:sz w:val="17"/>
              </w:rPr>
              <w:t>Expected concentration-dependent sensor behaviour</w:t>
            </w:r>
          </w:p>
        </w:tc>
      </w:tr>
      <w:tr>
        <w:tc>
          <w:tcPr>
            <w:tcW w:type="dxa" w:w="5112"/>
            <w:vAlign w:val="center"/>
          </w:tcPr>
          <w:p>
            <w:r/>
            <w:r>
              <w:rPr>
                <w:rFonts w:ascii="Arial" w:hAnsi="Arial" w:eastAsia="Arial"/>
                <w:b w:val="0"/>
                <w:sz w:val="17"/>
              </w:rPr>
              <w:t>High blank response</w:t>
            </w:r>
          </w:p>
        </w:tc>
        <w:tc>
          <w:tcPr>
            <w:tcW w:type="dxa" w:w="5112"/>
            <w:vAlign w:val="center"/>
          </w:tcPr>
          <w:p>
            <w:r/>
            <w:r>
              <w:rPr>
                <w:rFonts w:ascii="Arial" w:hAnsi="Arial" w:eastAsia="Arial"/>
                <w:b w:val="0"/>
                <w:sz w:val="17"/>
              </w:rPr>
              <w:t>Background current, mediator response, or electrode contamination</w:t>
            </w:r>
          </w:p>
        </w:tc>
      </w:tr>
      <w:tr>
        <w:tc>
          <w:tcPr>
            <w:tcW w:type="dxa" w:w="5112"/>
            <w:vAlign w:val="center"/>
          </w:tcPr>
          <w:p>
            <w:r/>
            <w:r>
              <w:rPr>
                <w:rFonts w:ascii="Arial" w:hAnsi="Arial" w:eastAsia="Arial"/>
                <w:b w:val="0"/>
                <w:sz w:val="17"/>
              </w:rPr>
              <w:t>Weak response</w:t>
            </w:r>
          </w:p>
        </w:tc>
        <w:tc>
          <w:tcPr>
            <w:tcW w:type="dxa" w:w="5112"/>
            <w:vAlign w:val="center"/>
          </w:tcPr>
          <w:p>
            <w:r/>
            <w:r>
              <w:rPr>
                <w:rFonts w:ascii="Arial" w:hAnsi="Arial" w:eastAsia="Arial"/>
                <w:b w:val="0"/>
                <w:sz w:val="17"/>
              </w:rPr>
              <w:t>Low enzyme activity, poor electrode surface, insufficient mediator, or unsuitable potential</w:t>
            </w:r>
          </w:p>
        </w:tc>
      </w:tr>
      <w:tr>
        <w:tc>
          <w:tcPr>
            <w:tcW w:type="dxa" w:w="5112"/>
            <w:vAlign w:val="center"/>
          </w:tcPr>
          <w:p>
            <w:r/>
            <w:r>
              <w:rPr>
                <w:rFonts w:ascii="Arial" w:hAnsi="Arial" w:eastAsia="Arial"/>
                <w:b w:val="0"/>
                <w:sz w:val="17"/>
              </w:rPr>
              <w:t>Unstable baseline</w:t>
            </w:r>
          </w:p>
        </w:tc>
        <w:tc>
          <w:tcPr>
            <w:tcW w:type="dxa" w:w="5112"/>
            <w:vAlign w:val="center"/>
          </w:tcPr>
          <w:p>
            <w:r/>
            <w:r>
              <w:rPr>
                <w:rFonts w:ascii="Arial" w:hAnsi="Arial" w:eastAsia="Arial"/>
                <w:b w:val="0"/>
                <w:sz w:val="17"/>
              </w:rPr>
              <w:t>Electrode drift, bubbles, poor equilibration, or inconsistent solution contact</w:t>
            </w:r>
          </w:p>
        </w:tc>
      </w:tr>
      <w:tr>
        <w:tc>
          <w:tcPr>
            <w:tcW w:type="dxa" w:w="5112"/>
            <w:vAlign w:val="center"/>
          </w:tcPr>
          <w:p>
            <w:r/>
            <w:r>
              <w:rPr>
                <w:rFonts w:ascii="Arial" w:hAnsi="Arial" w:eastAsia="Arial"/>
                <w:b w:val="0"/>
                <w:sz w:val="17"/>
              </w:rPr>
              <w:t>Nonlinear response at high glucose</w:t>
            </w:r>
          </w:p>
        </w:tc>
        <w:tc>
          <w:tcPr>
            <w:tcW w:type="dxa" w:w="5112"/>
            <w:vAlign w:val="center"/>
          </w:tcPr>
          <w:p>
            <w:r/>
            <w:r>
              <w:rPr>
                <w:rFonts w:ascii="Arial" w:hAnsi="Arial" w:eastAsia="Arial"/>
                <w:b w:val="0"/>
                <w:sz w:val="17"/>
              </w:rPr>
              <w:t>Enzyme saturation, diffusion limitation, or electrode fouling</w:t>
            </w:r>
          </w:p>
        </w:tc>
      </w:tr>
      <w:tr>
        <w:tc>
          <w:tcPr>
            <w:tcW w:type="dxa" w:w="5112"/>
            <w:vAlign w:val="center"/>
          </w:tcPr>
          <w:p>
            <w:r/>
            <w:r>
              <w:rPr>
                <w:rFonts w:ascii="Arial" w:hAnsi="Arial" w:eastAsia="Arial"/>
                <w:b w:val="0"/>
                <w:sz w:val="17"/>
              </w:rPr>
              <w:t>Large variation between repeats</w:t>
            </w:r>
          </w:p>
        </w:tc>
        <w:tc>
          <w:tcPr>
            <w:tcW w:type="dxa" w:w="5112"/>
            <w:vAlign w:val="center"/>
          </w:tcPr>
          <w:p>
            <w:r/>
            <w:r>
              <w:rPr>
                <w:rFonts w:ascii="Arial" w:hAnsi="Arial" w:eastAsia="Arial"/>
                <w:b w:val="0"/>
                <w:sz w:val="17"/>
              </w:rPr>
              <w:t>Inconsistent electrode preparation, timing, or reagent addition</w:t>
            </w:r>
          </w:p>
        </w:tc>
      </w:tr>
      <w:tr>
        <w:tc>
          <w:tcPr>
            <w:tcW w:type="dxa" w:w="5112"/>
            <w:vAlign w:val="center"/>
          </w:tcPr>
          <w:p>
            <w:r/>
            <w:r>
              <w:rPr>
                <w:rFonts w:ascii="Arial" w:hAnsi="Arial" w:eastAsia="Arial"/>
                <w:b w:val="0"/>
                <w:sz w:val="17"/>
              </w:rPr>
              <w:t>Response to non-glucose species</w:t>
            </w:r>
          </w:p>
        </w:tc>
        <w:tc>
          <w:tcPr>
            <w:tcW w:type="dxa" w:w="5112"/>
            <w:vAlign w:val="center"/>
          </w:tcPr>
          <w:p>
            <w:r/>
            <w:r>
              <w:rPr>
                <w:rFonts w:ascii="Arial" w:hAnsi="Arial" w:eastAsia="Arial"/>
                <w:b w:val="0"/>
                <w:sz w:val="17"/>
              </w:rPr>
              <w:t>Poor selectivity or interference</w:t>
            </w:r>
          </w:p>
        </w:tc>
      </w:tr>
    </w:tbl>
    <w:p/>
    <w:p>
      <w:pPr>
        <w:pStyle w:val="Heading1"/>
      </w:pPr>
      <w:r>
        <w:t>13. Suggested Batch / Run Record</w:t>
      </w:r>
    </w:p>
    <w:tbl>
      <w:tblPr>
        <w:tblStyle w:val="TableGrid"/>
        <w:tblW w:type="auto" w:w="0"/>
        <w:jc w:val="center"/>
        <w:tblLook w:firstColumn="1" w:firstRow="1" w:lastColumn="0" w:lastRow="0" w:noHBand="0" w:noVBand="1" w:val="04A0"/>
      </w:tblPr>
      <w:tblGrid>
        <w:gridCol w:w="1278"/>
        <w:gridCol w:w="1278"/>
        <w:gridCol w:w="1278"/>
        <w:gridCol w:w="1278"/>
        <w:gridCol w:w="1278"/>
        <w:gridCol w:w="1278"/>
        <w:gridCol w:w="1278"/>
        <w:gridCol w:w="1278"/>
      </w:tblGrid>
      <w:tr>
        <w:tc>
          <w:tcPr>
            <w:tcW w:type="dxa" w:w="1278"/>
            <w:vAlign w:val="center"/>
            <w:shd w:fill="1F4E79"/>
          </w:tcPr>
          <w:p>
            <w:r/>
            <w:r>
              <w:rPr>
                <w:rFonts w:ascii="Arial" w:hAnsi="Arial" w:eastAsia="Arial"/>
                <w:b/>
                <w:color w:val="FFFFFF"/>
                <w:sz w:val="17"/>
              </w:rPr>
              <w:t>Run ID</w:t>
            </w:r>
          </w:p>
        </w:tc>
        <w:tc>
          <w:tcPr>
            <w:tcW w:type="dxa" w:w="1278"/>
            <w:vAlign w:val="center"/>
            <w:shd w:fill="1F4E79"/>
          </w:tcPr>
          <w:p>
            <w:r/>
            <w:r>
              <w:rPr>
                <w:rFonts w:ascii="Arial" w:hAnsi="Arial" w:eastAsia="Arial"/>
                <w:b/>
                <w:color w:val="FFFFFF"/>
                <w:sz w:val="17"/>
              </w:rPr>
              <w:t>Glucose conc.</w:t>
            </w:r>
          </w:p>
        </w:tc>
        <w:tc>
          <w:tcPr>
            <w:tcW w:type="dxa" w:w="1278"/>
            <w:vAlign w:val="center"/>
            <w:shd w:fill="1F4E79"/>
          </w:tcPr>
          <w:p>
            <w:r/>
            <w:r>
              <w:rPr>
                <w:rFonts w:ascii="Arial" w:hAnsi="Arial" w:eastAsia="Arial"/>
                <w:b/>
                <w:color w:val="FFFFFF"/>
                <w:sz w:val="17"/>
              </w:rPr>
              <w:t>Enzyme format</w:t>
            </w:r>
          </w:p>
        </w:tc>
        <w:tc>
          <w:tcPr>
            <w:tcW w:type="dxa" w:w="1278"/>
            <w:vAlign w:val="center"/>
            <w:shd w:fill="1F4E79"/>
          </w:tcPr>
          <w:p>
            <w:r/>
            <w:r>
              <w:rPr>
                <w:rFonts w:ascii="Arial" w:hAnsi="Arial" w:eastAsia="Arial"/>
                <w:b/>
                <w:color w:val="FFFFFF"/>
                <w:sz w:val="17"/>
              </w:rPr>
              <w:t>Mediator</w:t>
            </w:r>
          </w:p>
        </w:tc>
        <w:tc>
          <w:tcPr>
            <w:tcW w:type="dxa" w:w="1278"/>
            <w:vAlign w:val="center"/>
            <w:shd w:fill="1F4E79"/>
          </w:tcPr>
          <w:p>
            <w:r/>
            <w:r>
              <w:rPr>
                <w:rFonts w:ascii="Arial" w:hAnsi="Arial" w:eastAsia="Arial"/>
                <w:b/>
                <w:color w:val="FFFFFF"/>
                <w:sz w:val="17"/>
              </w:rPr>
              <w:t>Incubation</w:t>
            </w:r>
          </w:p>
        </w:tc>
        <w:tc>
          <w:tcPr>
            <w:tcW w:type="dxa" w:w="1278"/>
            <w:vAlign w:val="center"/>
            <w:shd w:fill="1F4E79"/>
          </w:tcPr>
          <w:p>
            <w:r/>
            <w:r>
              <w:rPr>
                <w:rFonts w:ascii="Arial" w:hAnsi="Arial" w:eastAsia="Arial"/>
                <w:b/>
                <w:color w:val="FFFFFF"/>
                <w:sz w:val="17"/>
              </w:rPr>
              <w:t>Measurement mode</w:t>
            </w:r>
          </w:p>
        </w:tc>
        <w:tc>
          <w:tcPr>
            <w:tcW w:type="dxa" w:w="1278"/>
            <w:vAlign w:val="center"/>
            <w:shd w:fill="1F4E79"/>
          </w:tcPr>
          <w:p>
            <w:r/>
            <w:r>
              <w:rPr>
                <w:rFonts w:ascii="Arial" w:hAnsi="Arial" w:eastAsia="Arial"/>
                <w:b/>
                <w:color w:val="FFFFFF"/>
                <w:sz w:val="17"/>
              </w:rPr>
              <w:t>Response</w:t>
            </w:r>
          </w:p>
        </w:tc>
        <w:tc>
          <w:tcPr>
            <w:tcW w:type="dxa" w:w="1278"/>
            <w:vAlign w:val="center"/>
            <w:shd w:fill="1F4E79"/>
          </w:tcPr>
          <w:p>
            <w:r/>
            <w:r>
              <w:rPr>
                <w:rFonts w:ascii="Arial" w:hAnsi="Arial" w:eastAsia="Arial"/>
                <w:b/>
                <w:color w:val="FFFFFF"/>
                <w:sz w:val="17"/>
              </w:rPr>
              <w:t>Remarks</w:t>
            </w:r>
          </w:p>
        </w:tc>
      </w:tr>
      <w:tr>
        <w:tc>
          <w:tcPr>
            <w:tcW w:type="dxa" w:w="1278"/>
            <w:vAlign w:val="center"/>
          </w:tcPr>
          <w:p>
            <w:r/>
            <w:r>
              <w:rPr>
                <w:rFonts w:ascii="Arial" w:hAnsi="Arial" w:eastAsia="Arial"/>
                <w:b w:val="0"/>
                <w:sz w:val="17"/>
              </w:rPr>
              <w:t>GLU-01</w:t>
            </w:r>
          </w:p>
        </w:tc>
        <w:tc>
          <w:tcPr>
            <w:tcW w:type="dxa" w:w="1278"/>
            <w:vAlign w:val="center"/>
          </w:tcPr>
          <w:p>
            <w:r/>
            <w:r>
              <w:rPr>
                <w:rFonts w:ascii="Arial" w:hAnsi="Arial" w:eastAsia="Arial"/>
                <w:b w:val="0"/>
                <w:sz w:val="17"/>
              </w:rPr>
              <w:t>0 mM</w:t>
            </w:r>
          </w:p>
        </w:tc>
        <w:tc>
          <w:tcPr>
            <w:tcW w:type="dxa" w:w="1278"/>
            <w:vAlign w:val="center"/>
          </w:tcPr>
          <w:p>
            <w:r/>
            <w:r>
              <w:rPr>
                <w:rFonts w:ascii="Arial" w:hAnsi="Arial" w:eastAsia="Arial"/>
                <w:b w:val="0"/>
                <w:sz w:val="17"/>
              </w:rPr>
              <w:t>Solution GOx</w:t>
            </w:r>
          </w:p>
        </w:tc>
        <w:tc>
          <w:tcPr>
            <w:tcW w:type="dxa" w:w="1278"/>
            <w:vAlign w:val="center"/>
          </w:tcPr>
          <w:p>
            <w:r/>
            <w:r>
              <w:rPr>
                <w:rFonts w:ascii="Arial" w:hAnsi="Arial" w:eastAsia="Arial"/>
                <w:b w:val="0"/>
                <w:sz w:val="17"/>
              </w:rPr>
              <w:t>Yes</w:t>
            </w:r>
          </w:p>
        </w:tc>
        <w:tc>
          <w:tcPr>
            <w:tcW w:type="dxa" w:w="1278"/>
            <w:vAlign w:val="center"/>
          </w:tcPr>
          <w:p>
            <w:r/>
            <w:r>
              <w:rPr>
                <w:rFonts w:ascii="Arial" w:hAnsi="Arial" w:eastAsia="Arial"/>
                <w:b w:val="0"/>
                <w:sz w:val="17"/>
              </w:rPr>
              <w:t>10 min</w:t>
            </w:r>
          </w:p>
        </w:tc>
        <w:tc>
          <w:tcPr>
            <w:tcW w:type="dxa" w:w="1278"/>
            <w:vAlign w:val="center"/>
          </w:tcPr>
          <w:p>
            <w:r/>
            <w:r>
              <w:rPr>
                <w:rFonts w:ascii="Arial" w:hAnsi="Arial" w:eastAsia="Arial"/>
                <w:b w:val="0"/>
                <w:sz w:val="17"/>
              </w:rPr>
              <w:t>Voltage mode</w:t>
            </w:r>
          </w:p>
        </w:tc>
        <w:tc>
          <w:tcPr>
            <w:tcW w:type="dxa" w:w="1278"/>
            <w:vAlign w:val="center"/>
          </w:tcPr>
          <w:p>
            <w:r/>
            <w:r>
              <w:rPr>
                <w:rFonts w:ascii="Arial" w:hAnsi="Arial" w:eastAsia="Arial"/>
                <w:b w:val="0"/>
                <w:sz w:val="17"/>
              </w:rPr>
              <w:t>Blank</w:t>
            </w:r>
          </w:p>
        </w:tc>
        <w:tc>
          <w:tcPr>
            <w:tcW w:type="dxa" w:w="1278"/>
            <w:vAlign w:val="center"/>
          </w:tcPr>
          <w:p>
            <w:r/>
            <w:r>
              <w:rPr>
                <w:rFonts w:ascii="Arial" w:hAnsi="Arial" w:eastAsia="Arial"/>
                <w:b w:val="0"/>
                <w:sz w:val="17"/>
              </w:rPr>
              <w:t>Baseline</w:t>
            </w:r>
          </w:p>
        </w:tc>
      </w:tr>
      <w:tr>
        <w:tc>
          <w:tcPr>
            <w:tcW w:type="dxa" w:w="1278"/>
            <w:vAlign w:val="center"/>
          </w:tcPr>
          <w:p>
            <w:r/>
            <w:r>
              <w:rPr>
                <w:rFonts w:ascii="Arial" w:hAnsi="Arial" w:eastAsia="Arial"/>
                <w:b w:val="0"/>
                <w:sz w:val="17"/>
              </w:rPr>
              <w:t>GLU-02</w:t>
            </w:r>
          </w:p>
        </w:tc>
        <w:tc>
          <w:tcPr>
            <w:tcW w:type="dxa" w:w="1278"/>
            <w:vAlign w:val="center"/>
          </w:tcPr>
          <w:p>
            <w:r/>
            <w:r>
              <w:rPr>
                <w:rFonts w:ascii="Arial" w:hAnsi="Arial" w:eastAsia="Arial"/>
                <w:b w:val="0"/>
                <w:sz w:val="17"/>
              </w:rPr>
              <w:t>Low</w:t>
            </w:r>
          </w:p>
        </w:tc>
        <w:tc>
          <w:tcPr>
            <w:tcW w:type="dxa" w:w="1278"/>
            <w:vAlign w:val="center"/>
          </w:tcPr>
          <w:p>
            <w:r/>
            <w:r>
              <w:rPr>
                <w:rFonts w:ascii="Arial" w:hAnsi="Arial" w:eastAsia="Arial"/>
                <w:b w:val="0"/>
                <w:sz w:val="17"/>
              </w:rPr>
              <w:t>Solution GOx</w:t>
            </w:r>
          </w:p>
        </w:tc>
        <w:tc>
          <w:tcPr>
            <w:tcW w:type="dxa" w:w="1278"/>
            <w:vAlign w:val="center"/>
          </w:tcPr>
          <w:p>
            <w:r/>
            <w:r>
              <w:rPr>
                <w:rFonts w:ascii="Arial" w:hAnsi="Arial" w:eastAsia="Arial"/>
                <w:b w:val="0"/>
                <w:sz w:val="17"/>
              </w:rPr>
              <w:t>Yes</w:t>
            </w:r>
          </w:p>
        </w:tc>
        <w:tc>
          <w:tcPr>
            <w:tcW w:type="dxa" w:w="1278"/>
            <w:vAlign w:val="center"/>
          </w:tcPr>
          <w:p>
            <w:r/>
            <w:r>
              <w:rPr>
                <w:rFonts w:ascii="Arial" w:hAnsi="Arial" w:eastAsia="Arial"/>
                <w:b w:val="0"/>
                <w:sz w:val="17"/>
              </w:rPr>
              <w:t>10 min</w:t>
            </w:r>
          </w:p>
        </w:tc>
        <w:tc>
          <w:tcPr>
            <w:tcW w:type="dxa" w:w="1278"/>
            <w:vAlign w:val="center"/>
          </w:tcPr>
          <w:p>
            <w:r/>
            <w:r>
              <w:rPr>
                <w:rFonts w:ascii="Arial" w:hAnsi="Arial" w:eastAsia="Arial"/>
                <w:b w:val="0"/>
                <w:sz w:val="17"/>
              </w:rPr>
              <w:t>Voltage mode</w:t>
            </w:r>
          </w:p>
        </w:tc>
        <w:tc>
          <w:tcPr>
            <w:tcW w:type="dxa" w:w="1278"/>
            <w:vAlign w:val="center"/>
          </w:tcPr>
          <w:p>
            <w:r/>
            <w:r>
              <w:rPr>
                <w:rFonts w:ascii="Arial" w:hAnsi="Arial" w:eastAsia="Arial"/>
                <w:b w:val="0"/>
                <w:sz w:val="17"/>
              </w:rPr>
              <w:t>Low signal</w:t>
            </w:r>
          </w:p>
        </w:tc>
        <w:tc>
          <w:tcPr>
            <w:tcW w:type="dxa" w:w="1278"/>
            <w:vAlign w:val="center"/>
          </w:tcPr>
          <w:p>
            <w:r/>
            <w:r>
              <w:rPr>
                <w:rFonts w:ascii="Arial" w:hAnsi="Arial" w:eastAsia="Arial"/>
                <w:b w:val="0"/>
                <w:sz w:val="17"/>
              </w:rPr>
              <w:t>Standard 1</w:t>
            </w:r>
          </w:p>
        </w:tc>
      </w:tr>
      <w:tr>
        <w:tc>
          <w:tcPr>
            <w:tcW w:type="dxa" w:w="1278"/>
            <w:vAlign w:val="center"/>
          </w:tcPr>
          <w:p>
            <w:r/>
            <w:r>
              <w:rPr>
                <w:rFonts w:ascii="Arial" w:hAnsi="Arial" w:eastAsia="Arial"/>
                <w:b w:val="0"/>
                <w:sz w:val="17"/>
              </w:rPr>
              <w:t>GLU-03</w:t>
            </w:r>
          </w:p>
        </w:tc>
        <w:tc>
          <w:tcPr>
            <w:tcW w:type="dxa" w:w="1278"/>
            <w:vAlign w:val="center"/>
          </w:tcPr>
          <w:p>
            <w:r/>
            <w:r>
              <w:rPr>
                <w:rFonts w:ascii="Arial" w:hAnsi="Arial" w:eastAsia="Arial"/>
                <w:b w:val="0"/>
                <w:sz w:val="17"/>
              </w:rPr>
              <w:t>Medium</w:t>
            </w:r>
          </w:p>
        </w:tc>
        <w:tc>
          <w:tcPr>
            <w:tcW w:type="dxa" w:w="1278"/>
            <w:vAlign w:val="center"/>
          </w:tcPr>
          <w:p>
            <w:r/>
            <w:r>
              <w:rPr>
                <w:rFonts w:ascii="Arial" w:hAnsi="Arial" w:eastAsia="Arial"/>
                <w:b w:val="0"/>
                <w:sz w:val="17"/>
              </w:rPr>
              <w:t>Solution GOx</w:t>
            </w:r>
          </w:p>
        </w:tc>
        <w:tc>
          <w:tcPr>
            <w:tcW w:type="dxa" w:w="1278"/>
            <w:vAlign w:val="center"/>
          </w:tcPr>
          <w:p>
            <w:r/>
            <w:r>
              <w:rPr>
                <w:rFonts w:ascii="Arial" w:hAnsi="Arial" w:eastAsia="Arial"/>
                <w:b w:val="0"/>
                <w:sz w:val="17"/>
              </w:rPr>
              <w:t>Yes</w:t>
            </w:r>
          </w:p>
        </w:tc>
        <w:tc>
          <w:tcPr>
            <w:tcW w:type="dxa" w:w="1278"/>
            <w:vAlign w:val="center"/>
          </w:tcPr>
          <w:p>
            <w:r/>
            <w:r>
              <w:rPr>
                <w:rFonts w:ascii="Arial" w:hAnsi="Arial" w:eastAsia="Arial"/>
                <w:b w:val="0"/>
                <w:sz w:val="17"/>
              </w:rPr>
              <w:t>10 min</w:t>
            </w:r>
          </w:p>
        </w:tc>
        <w:tc>
          <w:tcPr>
            <w:tcW w:type="dxa" w:w="1278"/>
            <w:vAlign w:val="center"/>
          </w:tcPr>
          <w:p>
            <w:r/>
            <w:r>
              <w:rPr>
                <w:rFonts w:ascii="Arial" w:hAnsi="Arial" w:eastAsia="Arial"/>
                <w:b w:val="0"/>
                <w:sz w:val="17"/>
              </w:rPr>
              <w:t>Voltage mode</w:t>
            </w:r>
          </w:p>
        </w:tc>
        <w:tc>
          <w:tcPr>
            <w:tcW w:type="dxa" w:w="1278"/>
            <w:vAlign w:val="center"/>
          </w:tcPr>
          <w:p>
            <w:r/>
            <w:r>
              <w:rPr>
                <w:rFonts w:ascii="Arial" w:hAnsi="Arial" w:eastAsia="Arial"/>
                <w:b w:val="0"/>
                <w:sz w:val="17"/>
              </w:rPr>
              <w:t>Moderate signal</w:t>
            </w:r>
          </w:p>
        </w:tc>
        <w:tc>
          <w:tcPr>
            <w:tcW w:type="dxa" w:w="1278"/>
            <w:vAlign w:val="center"/>
          </w:tcPr>
          <w:p>
            <w:r/>
            <w:r>
              <w:rPr>
                <w:rFonts w:ascii="Arial" w:hAnsi="Arial" w:eastAsia="Arial"/>
                <w:b w:val="0"/>
                <w:sz w:val="17"/>
              </w:rPr>
              <w:t>Standard 2</w:t>
            </w:r>
          </w:p>
        </w:tc>
      </w:tr>
      <w:tr>
        <w:tc>
          <w:tcPr>
            <w:tcW w:type="dxa" w:w="1278"/>
            <w:vAlign w:val="center"/>
          </w:tcPr>
          <w:p>
            <w:r/>
            <w:r>
              <w:rPr>
                <w:rFonts w:ascii="Arial" w:hAnsi="Arial" w:eastAsia="Arial"/>
                <w:b w:val="0"/>
                <w:sz w:val="17"/>
              </w:rPr>
              <w:t>GLU-04</w:t>
            </w:r>
          </w:p>
        </w:tc>
        <w:tc>
          <w:tcPr>
            <w:tcW w:type="dxa" w:w="1278"/>
            <w:vAlign w:val="center"/>
          </w:tcPr>
          <w:p>
            <w:r/>
            <w:r>
              <w:rPr>
                <w:rFonts w:ascii="Arial" w:hAnsi="Arial" w:eastAsia="Arial"/>
                <w:b w:val="0"/>
                <w:sz w:val="17"/>
              </w:rPr>
              <w:t>High</w:t>
            </w:r>
          </w:p>
        </w:tc>
        <w:tc>
          <w:tcPr>
            <w:tcW w:type="dxa" w:w="1278"/>
            <w:vAlign w:val="center"/>
          </w:tcPr>
          <w:p>
            <w:r/>
            <w:r>
              <w:rPr>
                <w:rFonts w:ascii="Arial" w:hAnsi="Arial" w:eastAsia="Arial"/>
                <w:b w:val="0"/>
                <w:sz w:val="17"/>
              </w:rPr>
              <w:t>Solution GOx</w:t>
            </w:r>
          </w:p>
        </w:tc>
        <w:tc>
          <w:tcPr>
            <w:tcW w:type="dxa" w:w="1278"/>
            <w:vAlign w:val="center"/>
          </w:tcPr>
          <w:p>
            <w:r/>
            <w:r>
              <w:rPr>
                <w:rFonts w:ascii="Arial" w:hAnsi="Arial" w:eastAsia="Arial"/>
                <w:b w:val="0"/>
                <w:sz w:val="17"/>
              </w:rPr>
              <w:t>Yes</w:t>
            </w:r>
          </w:p>
        </w:tc>
        <w:tc>
          <w:tcPr>
            <w:tcW w:type="dxa" w:w="1278"/>
            <w:vAlign w:val="center"/>
          </w:tcPr>
          <w:p>
            <w:r/>
            <w:r>
              <w:rPr>
                <w:rFonts w:ascii="Arial" w:hAnsi="Arial" w:eastAsia="Arial"/>
                <w:b w:val="0"/>
                <w:sz w:val="17"/>
              </w:rPr>
              <w:t>10 min</w:t>
            </w:r>
          </w:p>
        </w:tc>
        <w:tc>
          <w:tcPr>
            <w:tcW w:type="dxa" w:w="1278"/>
            <w:vAlign w:val="center"/>
          </w:tcPr>
          <w:p>
            <w:r/>
            <w:r>
              <w:rPr>
                <w:rFonts w:ascii="Arial" w:hAnsi="Arial" w:eastAsia="Arial"/>
                <w:b w:val="0"/>
                <w:sz w:val="17"/>
              </w:rPr>
              <w:t>Voltage mode</w:t>
            </w:r>
          </w:p>
        </w:tc>
        <w:tc>
          <w:tcPr>
            <w:tcW w:type="dxa" w:w="1278"/>
            <w:vAlign w:val="center"/>
          </w:tcPr>
          <w:p>
            <w:r/>
            <w:r>
              <w:rPr>
                <w:rFonts w:ascii="Arial" w:hAnsi="Arial" w:eastAsia="Arial"/>
                <w:b w:val="0"/>
                <w:sz w:val="17"/>
              </w:rPr>
              <w:t>High signal</w:t>
            </w:r>
          </w:p>
        </w:tc>
        <w:tc>
          <w:tcPr>
            <w:tcW w:type="dxa" w:w="1278"/>
            <w:vAlign w:val="center"/>
          </w:tcPr>
          <w:p>
            <w:r/>
            <w:r>
              <w:rPr>
                <w:rFonts w:ascii="Arial" w:hAnsi="Arial" w:eastAsia="Arial"/>
                <w:b w:val="0"/>
                <w:sz w:val="17"/>
              </w:rPr>
              <w:t>Check linearity</w:t>
            </w:r>
          </w:p>
        </w:tc>
      </w:tr>
    </w:tbl>
    <w:p/>
    <w:p>
      <w:pPr>
        <w:pStyle w:val="Heading1"/>
      </w:pPr>
      <w:r>
        <w:t>14. Preliminary Interpretation Strategy</w:t>
      </w:r>
    </w:p>
    <w:p>
      <w:r>
        <w:rPr>
          <w:rFonts w:ascii="Arial" w:hAnsi="Arial" w:eastAsia="Arial"/>
          <w:sz w:val="20"/>
        </w:rPr>
        <w:t>The assay should be interpreted in stages rather than judged only from a single signal. First, the blank or baseline response should be recorded. Then the response to known glucose concentrations should be compared. The relationship between concentration and response can be plotted externally to generate a calibration curve.</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Stage</w:t>
            </w:r>
          </w:p>
        </w:tc>
        <w:tc>
          <w:tcPr>
            <w:tcW w:type="dxa" w:w="5112"/>
            <w:vAlign w:val="center"/>
            <w:shd w:fill="1F4E79"/>
          </w:tcPr>
          <w:p>
            <w:r/>
            <w:r>
              <w:rPr>
                <w:rFonts w:ascii="Arial" w:hAnsi="Arial" w:eastAsia="Arial"/>
                <w:b/>
                <w:color w:val="FFFFFF"/>
                <w:sz w:val="17"/>
              </w:rPr>
              <w:t>Question to ask</w:t>
            </w:r>
          </w:p>
        </w:tc>
      </w:tr>
      <w:tr>
        <w:tc>
          <w:tcPr>
            <w:tcW w:type="dxa" w:w="5112"/>
            <w:vAlign w:val="center"/>
          </w:tcPr>
          <w:p>
            <w:r/>
            <w:r>
              <w:rPr>
                <w:rFonts w:ascii="Arial" w:hAnsi="Arial" w:eastAsia="Arial"/>
                <w:b w:val="0"/>
                <w:sz w:val="17"/>
              </w:rPr>
              <w:t>Baseline</w:t>
            </w:r>
          </w:p>
        </w:tc>
        <w:tc>
          <w:tcPr>
            <w:tcW w:type="dxa" w:w="5112"/>
            <w:vAlign w:val="center"/>
          </w:tcPr>
          <w:p>
            <w:r/>
            <w:r>
              <w:rPr>
                <w:rFonts w:ascii="Arial" w:hAnsi="Arial" w:eastAsia="Arial"/>
                <w:b w:val="0"/>
                <w:sz w:val="17"/>
              </w:rPr>
              <w:t>Is the blank response stable and reasonably low?</w:t>
            </w:r>
          </w:p>
        </w:tc>
      </w:tr>
      <w:tr>
        <w:tc>
          <w:tcPr>
            <w:tcW w:type="dxa" w:w="5112"/>
            <w:vAlign w:val="center"/>
          </w:tcPr>
          <w:p>
            <w:r/>
            <w:r>
              <w:rPr>
                <w:rFonts w:ascii="Arial" w:hAnsi="Arial" w:eastAsia="Arial"/>
                <w:b w:val="0"/>
                <w:sz w:val="17"/>
              </w:rPr>
              <w:t>Low glucose</w:t>
            </w:r>
          </w:p>
        </w:tc>
        <w:tc>
          <w:tcPr>
            <w:tcW w:type="dxa" w:w="5112"/>
            <w:vAlign w:val="center"/>
          </w:tcPr>
          <w:p>
            <w:r/>
            <w:r>
              <w:rPr>
                <w:rFonts w:ascii="Arial" w:hAnsi="Arial" w:eastAsia="Arial"/>
                <w:b w:val="0"/>
                <w:sz w:val="17"/>
              </w:rPr>
              <w:t>Is a measurable response obtained above blank?</w:t>
            </w:r>
          </w:p>
        </w:tc>
      </w:tr>
      <w:tr>
        <w:tc>
          <w:tcPr>
            <w:tcW w:type="dxa" w:w="5112"/>
            <w:vAlign w:val="center"/>
          </w:tcPr>
          <w:p>
            <w:r/>
            <w:r>
              <w:rPr>
                <w:rFonts w:ascii="Arial" w:hAnsi="Arial" w:eastAsia="Arial"/>
                <w:b w:val="0"/>
                <w:sz w:val="17"/>
              </w:rPr>
              <w:t>Increasing glucose</w:t>
            </w:r>
          </w:p>
        </w:tc>
        <w:tc>
          <w:tcPr>
            <w:tcW w:type="dxa" w:w="5112"/>
            <w:vAlign w:val="center"/>
          </w:tcPr>
          <w:p>
            <w:r/>
            <w:r>
              <w:rPr>
                <w:rFonts w:ascii="Arial" w:hAnsi="Arial" w:eastAsia="Arial"/>
                <w:b w:val="0"/>
                <w:sz w:val="17"/>
              </w:rPr>
              <w:t>Does response increase with concentration?</w:t>
            </w:r>
          </w:p>
        </w:tc>
      </w:tr>
      <w:tr>
        <w:tc>
          <w:tcPr>
            <w:tcW w:type="dxa" w:w="5112"/>
            <w:vAlign w:val="center"/>
          </w:tcPr>
          <w:p>
            <w:r/>
            <w:r>
              <w:rPr>
                <w:rFonts w:ascii="Arial" w:hAnsi="Arial" w:eastAsia="Arial"/>
                <w:b w:val="0"/>
                <w:sz w:val="17"/>
              </w:rPr>
              <w:t>Repeat run</w:t>
            </w:r>
          </w:p>
        </w:tc>
        <w:tc>
          <w:tcPr>
            <w:tcW w:type="dxa" w:w="5112"/>
            <w:vAlign w:val="center"/>
          </w:tcPr>
          <w:p>
            <w:r/>
            <w:r>
              <w:rPr>
                <w:rFonts w:ascii="Arial" w:hAnsi="Arial" w:eastAsia="Arial"/>
                <w:b w:val="0"/>
                <w:sz w:val="17"/>
              </w:rPr>
              <w:t>Is the response reasonably reproducible?</w:t>
            </w:r>
          </w:p>
        </w:tc>
      </w:tr>
      <w:tr>
        <w:tc>
          <w:tcPr>
            <w:tcW w:type="dxa" w:w="5112"/>
            <w:vAlign w:val="center"/>
          </w:tcPr>
          <w:p>
            <w:r/>
            <w:r>
              <w:rPr>
                <w:rFonts w:ascii="Arial" w:hAnsi="Arial" w:eastAsia="Arial"/>
                <w:b w:val="0"/>
                <w:sz w:val="17"/>
              </w:rPr>
              <w:t>External analysis</w:t>
            </w:r>
          </w:p>
        </w:tc>
        <w:tc>
          <w:tcPr>
            <w:tcW w:type="dxa" w:w="5112"/>
            <w:vAlign w:val="center"/>
          </w:tcPr>
          <w:p>
            <w:r/>
            <w:r>
              <w:rPr>
                <w:rFonts w:ascii="Arial" w:hAnsi="Arial" w:eastAsia="Arial"/>
                <w:b w:val="0"/>
                <w:sz w:val="17"/>
              </w:rPr>
              <w:t>What are the slope, linear range, sensitivity, and detection limit?</w:t>
            </w:r>
          </w:p>
        </w:tc>
      </w:tr>
      <w:tr>
        <w:tc>
          <w:tcPr>
            <w:tcW w:type="dxa" w:w="5112"/>
            <w:vAlign w:val="center"/>
          </w:tcPr>
          <w:p>
            <w:r/>
            <w:r>
              <w:rPr>
                <w:rFonts w:ascii="Arial" w:hAnsi="Arial" w:eastAsia="Arial"/>
                <w:b w:val="0"/>
                <w:sz w:val="17"/>
              </w:rPr>
              <w:t>Interference test</w:t>
            </w:r>
          </w:p>
        </w:tc>
        <w:tc>
          <w:tcPr>
            <w:tcW w:type="dxa" w:w="5112"/>
            <w:vAlign w:val="center"/>
          </w:tcPr>
          <w:p>
            <w:r/>
            <w:r>
              <w:rPr>
                <w:rFonts w:ascii="Arial" w:hAnsi="Arial" w:eastAsia="Arial"/>
                <w:b w:val="0"/>
                <w:sz w:val="17"/>
              </w:rPr>
              <w:t>Does the sensor respond selectively to glucose?</w:t>
            </w:r>
          </w:p>
        </w:tc>
      </w:tr>
    </w:tbl>
    <w:p/>
    <w:p>
      <w:pPr>
        <w:pStyle w:val="Heading1"/>
      </w:pPr>
      <w:r>
        <w:t>15. Calibration Curve Concept</w:t>
      </w:r>
    </w:p>
    <w:p>
      <w:r>
        <w:rPr>
          <w:rFonts w:ascii="Arial" w:hAnsi="Arial" w:eastAsia="Arial"/>
          <w:sz w:val="20"/>
        </w:rPr>
        <w:t>A calibration curve is central to glucose detection. Known glucose standards are measured, and the signal is plotted against concentration. The slope of the curve provides an estimate of sensitivity. The linear range shows where the sensor response is proportional to glucose concentration.</w:t>
      </w:r>
    </w:p>
    <w:p>
      <w:r>
        <w:rPr>
          <w:rFonts w:ascii="Arial" w:hAnsi="Arial" w:eastAsia="Arial"/>
          <w:sz w:val="20"/>
        </w:rPr>
        <w:t>The calibration curve should be generated outside NSL using spreadsheet or scientific analysis software. The NSL workflow helps standardize the experimental sequence, but data analysis remains an external analytical task.</w:t>
      </w:r>
    </w:p>
    <w:p>
      <w:pPr>
        <w:pStyle w:val="Heading1"/>
      </w:pPr>
      <w:r>
        <w:t>16. Suggested Offline Data Analysis</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Analysis item</w:t>
            </w:r>
          </w:p>
        </w:tc>
        <w:tc>
          <w:tcPr>
            <w:tcW w:type="dxa" w:w="5112"/>
            <w:vAlign w:val="center"/>
            <w:shd w:fill="1F4E79"/>
          </w:tcPr>
          <w:p>
            <w:r/>
            <w:r>
              <w:rPr>
                <w:rFonts w:ascii="Arial" w:hAnsi="Arial" w:eastAsia="Arial"/>
                <w:b/>
                <w:color w:val="FFFFFF"/>
                <w:sz w:val="17"/>
              </w:rPr>
              <w:t>Purpose</w:t>
            </w:r>
          </w:p>
        </w:tc>
      </w:tr>
      <w:tr>
        <w:tc>
          <w:tcPr>
            <w:tcW w:type="dxa" w:w="5112"/>
            <w:vAlign w:val="center"/>
          </w:tcPr>
          <w:p>
            <w:r/>
            <w:r>
              <w:rPr>
                <w:rFonts w:ascii="Arial" w:hAnsi="Arial" w:eastAsia="Arial"/>
                <w:b w:val="0"/>
                <w:sz w:val="17"/>
              </w:rPr>
              <w:t>Blank correction</w:t>
            </w:r>
          </w:p>
        </w:tc>
        <w:tc>
          <w:tcPr>
            <w:tcW w:type="dxa" w:w="5112"/>
            <w:vAlign w:val="center"/>
          </w:tcPr>
          <w:p>
            <w:r/>
            <w:r>
              <w:rPr>
                <w:rFonts w:ascii="Arial" w:hAnsi="Arial" w:eastAsia="Arial"/>
                <w:b w:val="0"/>
                <w:sz w:val="17"/>
              </w:rPr>
              <w:t>Subtract background response</w:t>
            </w:r>
          </w:p>
        </w:tc>
      </w:tr>
      <w:tr>
        <w:tc>
          <w:tcPr>
            <w:tcW w:type="dxa" w:w="5112"/>
            <w:vAlign w:val="center"/>
          </w:tcPr>
          <w:p>
            <w:r/>
            <w:r>
              <w:rPr>
                <w:rFonts w:ascii="Arial" w:hAnsi="Arial" w:eastAsia="Arial"/>
                <w:b w:val="0"/>
                <w:sz w:val="17"/>
              </w:rPr>
              <w:t>Calibration curve</w:t>
            </w:r>
          </w:p>
        </w:tc>
        <w:tc>
          <w:tcPr>
            <w:tcW w:type="dxa" w:w="5112"/>
            <w:vAlign w:val="center"/>
          </w:tcPr>
          <w:p>
            <w:r/>
            <w:r>
              <w:rPr>
                <w:rFonts w:ascii="Arial" w:hAnsi="Arial" w:eastAsia="Arial"/>
                <w:b w:val="0"/>
                <w:sz w:val="17"/>
              </w:rPr>
              <w:t>Relate signal to glucose concentration</w:t>
            </w:r>
          </w:p>
        </w:tc>
      </w:tr>
      <w:tr>
        <w:tc>
          <w:tcPr>
            <w:tcW w:type="dxa" w:w="5112"/>
            <w:vAlign w:val="center"/>
          </w:tcPr>
          <w:p>
            <w:r/>
            <w:r>
              <w:rPr>
                <w:rFonts w:ascii="Arial" w:hAnsi="Arial" w:eastAsia="Arial"/>
                <w:b w:val="0"/>
                <w:sz w:val="17"/>
              </w:rPr>
              <w:t>Linear regression</w:t>
            </w:r>
          </w:p>
        </w:tc>
        <w:tc>
          <w:tcPr>
            <w:tcW w:type="dxa" w:w="5112"/>
            <w:vAlign w:val="center"/>
          </w:tcPr>
          <w:p>
            <w:r/>
            <w:r>
              <w:rPr>
                <w:rFonts w:ascii="Arial" w:hAnsi="Arial" w:eastAsia="Arial"/>
                <w:b w:val="0"/>
                <w:sz w:val="17"/>
              </w:rPr>
              <w:t>Estimate slope and fit quality</w:t>
            </w:r>
          </w:p>
        </w:tc>
      </w:tr>
      <w:tr>
        <w:tc>
          <w:tcPr>
            <w:tcW w:type="dxa" w:w="5112"/>
            <w:vAlign w:val="center"/>
          </w:tcPr>
          <w:p>
            <w:r/>
            <w:r>
              <w:rPr>
                <w:rFonts w:ascii="Arial" w:hAnsi="Arial" w:eastAsia="Arial"/>
                <w:b w:val="0"/>
                <w:sz w:val="17"/>
              </w:rPr>
              <w:t>Sensitivity</w:t>
            </w:r>
          </w:p>
        </w:tc>
        <w:tc>
          <w:tcPr>
            <w:tcW w:type="dxa" w:w="5112"/>
            <w:vAlign w:val="center"/>
          </w:tcPr>
          <w:p>
            <w:r/>
            <w:r>
              <w:rPr>
                <w:rFonts w:ascii="Arial" w:hAnsi="Arial" w:eastAsia="Arial"/>
                <w:b w:val="0"/>
                <w:sz w:val="17"/>
              </w:rPr>
              <w:t>Measure response per concentration unit</w:t>
            </w:r>
          </w:p>
        </w:tc>
      </w:tr>
      <w:tr>
        <w:tc>
          <w:tcPr>
            <w:tcW w:type="dxa" w:w="5112"/>
            <w:vAlign w:val="center"/>
          </w:tcPr>
          <w:p>
            <w:r/>
            <w:r>
              <w:rPr>
                <w:rFonts w:ascii="Arial" w:hAnsi="Arial" w:eastAsia="Arial"/>
                <w:b w:val="0"/>
                <w:sz w:val="17"/>
              </w:rPr>
              <w:t>Limit of detection</w:t>
            </w:r>
          </w:p>
        </w:tc>
        <w:tc>
          <w:tcPr>
            <w:tcW w:type="dxa" w:w="5112"/>
            <w:vAlign w:val="center"/>
          </w:tcPr>
          <w:p>
            <w:r/>
            <w:r>
              <w:rPr>
                <w:rFonts w:ascii="Arial" w:hAnsi="Arial" w:eastAsia="Arial"/>
                <w:b w:val="0"/>
                <w:sz w:val="17"/>
              </w:rPr>
              <w:t>Estimate minimum detectable glucose level</w:t>
            </w:r>
          </w:p>
        </w:tc>
      </w:tr>
      <w:tr>
        <w:tc>
          <w:tcPr>
            <w:tcW w:type="dxa" w:w="5112"/>
            <w:vAlign w:val="center"/>
          </w:tcPr>
          <w:p>
            <w:r/>
            <w:r>
              <w:rPr>
                <w:rFonts w:ascii="Arial" w:hAnsi="Arial" w:eastAsia="Arial"/>
                <w:b w:val="0"/>
                <w:sz w:val="17"/>
              </w:rPr>
              <w:t>Repeatability</w:t>
            </w:r>
          </w:p>
        </w:tc>
        <w:tc>
          <w:tcPr>
            <w:tcW w:type="dxa" w:w="5112"/>
            <w:vAlign w:val="center"/>
          </w:tcPr>
          <w:p>
            <w:r/>
            <w:r>
              <w:rPr>
                <w:rFonts w:ascii="Arial" w:hAnsi="Arial" w:eastAsia="Arial"/>
                <w:b w:val="0"/>
                <w:sz w:val="17"/>
              </w:rPr>
              <w:t>Compare repeated runs at same concentration</w:t>
            </w:r>
          </w:p>
        </w:tc>
      </w:tr>
      <w:tr>
        <w:tc>
          <w:tcPr>
            <w:tcW w:type="dxa" w:w="5112"/>
            <w:vAlign w:val="center"/>
          </w:tcPr>
          <w:p>
            <w:r/>
            <w:r>
              <w:rPr>
                <w:rFonts w:ascii="Arial" w:hAnsi="Arial" w:eastAsia="Arial"/>
                <w:b w:val="0"/>
                <w:sz w:val="17"/>
              </w:rPr>
              <w:t>Selectivity</w:t>
            </w:r>
          </w:p>
        </w:tc>
        <w:tc>
          <w:tcPr>
            <w:tcW w:type="dxa" w:w="5112"/>
            <w:vAlign w:val="center"/>
          </w:tcPr>
          <w:p>
            <w:r/>
            <w:r>
              <w:rPr>
                <w:rFonts w:ascii="Arial" w:hAnsi="Arial" w:eastAsia="Arial"/>
                <w:b w:val="0"/>
                <w:sz w:val="17"/>
              </w:rPr>
              <w:t>Compare glucose response against interfering species</w:t>
            </w:r>
          </w:p>
        </w:tc>
      </w:tr>
      <w:tr>
        <w:tc>
          <w:tcPr>
            <w:tcW w:type="dxa" w:w="5112"/>
            <w:vAlign w:val="center"/>
          </w:tcPr>
          <w:p>
            <w:r/>
            <w:r>
              <w:rPr>
                <w:rFonts w:ascii="Arial" w:hAnsi="Arial" w:eastAsia="Arial"/>
                <w:b w:val="0"/>
                <w:sz w:val="17"/>
              </w:rPr>
              <w:t>Stability</w:t>
            </w:r>
          </w:p>
        </w:tc>
        <w:tc>
          <w:tcPr>
            <w:tcW w:type="dxa" w:w="5112"/>
            <w:vAlign w:val="center"/>
          </w:tcPr>
          <w:p>
            <w:r/>
            <w:r>
              <w:rPr>
                <w:rFonts w:ascii="Arial" w:hAnsi="Arial" w:eastAsia="Arial"/>
                <w:b w:val="0"/>
                <w:sz w:val="17"/>
              </w:rPr>
              <w:t>Evaluate response after storage or repeated use</w:t>
            </w:r>
          </w:p>
        </w:tc>
      </w:tr>
    </w:tbl>
    <w:p/>
    <w:p>
      <w:pPr>
        <w:pStyle w:val="Heading1"/>
      </w:pPr>
      <w:r>
        <w:t>17. Possible Protocol Variants</w:t>
      </w:r>
    </w:p>
    <w:p>
      <w:pPr>
        <w:pStyle w:val="Heading2"/>
      </w:pPr>
      <w:r>
        <w:t>17.1 Solution-Phase Enzyme Model</w:t>
      </w:r>
    </w:p>
    <w:p>
      <w:r>
        <w:rPr>
          <w:rFonts w:ascii="Arial" w:hAnsi="Arial" w:eastAsia="Arial"/>
          <w:sz w:val="20"/>
        </w:rPr>
        <w:t>Glucose oxidase is added directly into the assay solution. This is simpler for teaching and avoids complex electrode immobilization. It is useful for early demonstrations.</w:t>
      </w:r>
    </w:p>
    <w:p>
      <w:pPr>
        <w:pStyle w:val="Heading2"/>
      </w:pPr>
      <w:r>
        <w:t>17.2 Enzyme-Modified Electrode Model</w:t>
      </w:r>
    </w:p>
    <w:p>
      <w:r>
        <w:rPr>
          <w:rFonts w:ascii="Arial" w:hAnsi="Arial" w:eastAsia="Arial"/>
          <w:sz w:val="20"/>
        </w:rPr>
        <w:t>Glucose oxidase is immobilized on the electrode surface before the assay. This is closer to a biosensor design, but electrode preparation and validation must be performed externally.</w:t>
      </w:r>
    </w:p>
    <w:p>
      <w:pPr>
        <w:pStyle w:val="Heading2"/>
      </w:pPr>
      <w:r>
        <w:t>17.3 Mediator-Based Detection Model</w:t>
      </w:r>
    </w:p>
    <w:p>
      <w:r>
        <w:rPr>
          <w:rFonts w:ascii="Arial" w:hAnsi="Arial" w:eastAsia="Arial"/>
          <w:sz w:val="20"/>
        </w:rPr>
        <w:t>A redox mediator is included to support electron transfer. This can improve signal generation but also requires careful background control.</w:t>
      </w:r>
    </w:p>
    <w:p>
      <w:pPr>
        <w:pStyle w:val="Heading2"/>
      </w:pPr>
      <w:r>
        <w:t>17.4 Nanomaterial-Modified Electrode Model</w:t>
      </w:r>
    </w:p>
    <w:p>
      <w:r>
        <w:rPr>
          <w:rFonts w:ascii="Arial" w:hAnsi="Arial" w:eastAsia="Arial"/>
          <w:sz w:val="20"/>
        </w:rPr>
        <w:t>Electrode surfaces may be modified with nanomaterials such as gold, silver, carbon materials, or metal oxides in advanced versions. These modifications should be treated as separate preparation and validation steps.</w:t>
      </w:r>
    </w:p>
    <w:p>
      <w:pPr>
        <w:pStyle w:val="Heading1"/>
      </w:pPr>
      <w:r>
        <w:t>18. Webinar Explanation Strategy</w:t>
      </w:r>
    </w:p>
    <w:p>
      <w:r>
        <w:rPr>
          <w:rFonts w:ascii="Arial" w:hAnsi="Arial" w:eastAsia="Arial"/>
          <w:sz w:val="20"/>
        </w:rPr>
        <w:t>For webinar use, this protocol can be explained in a simple way: glucose detection is a model biosensor assay where an enzyme recognizes glucose and an electrode converts the biochemical event into an electrical signal. Protoly organizes the experimental steps, and NSL supports selected physical and electrochemical operations.</w:t>
      </w:r>
    </w:p>
    <w:p>
      <w:r>
        <w:rPr>
          <w:rFonts w:ascii="Arial" w:hAnsi="Arial" w:eastAsia="Arial"/>
          <w:sz w:val="20"/>
        </w:rPr>
        <w:t>A good public explanation is: “This workflow is not a medical glucometer. It is a research and teaching model showing how enzyme-based electrochemical sensing can be structured, partially automated, and analyzed through calibration.”</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Slide topic</w:t>
            </w:r>
          </w:p>
        </w:tc>
        <w:tc>
          <w:tcPr>
            <w:tcW w:type="dxa" w:w="5112"/>
            <w:vAlign w:val="center"/>
            <w:shd w:fill="1F4E79"/>
          </w:tcPr>
          <w:p>
            <w:r/>
            <w:r>
              <w:rPr>
                <w:rFonts w:ascii="Arial" w:hAnsi="Arial" w:eastAsia="Arial"/>
                <w:b/>
                <w:color w:val="FFFFFF"/>
                <w:sz w:val="17"/>
              </w:rPr>
              <w:t>Key message</w:t>
            </w:r>
          </w:p>
        </w:tc>
      </w:tr>
      <w:tr>
        <w:tc>
          <w:tcPr>
            <w:tcW w:type="dxa" w:w="5112"/>
            <w:vAlign w:val="center"/>
          </w:tcPr>
          <w:p>
            <w:r/>
            <w:r>
              <w:rPr>
                <w:rFonts w:ascii="Arial" w:hAnsi="Arial" w:eastAsia="Arial"/>
                <w:b w:val="0"/>
                <w:sz w:val="17"/>
              </w:rPr>
              <w:t>What is a biosensor?</w:t>
            </w:r>
          </w:p>
        </w:tc>
        <w:tc>
          <w:tcPr>
            <w:tcW w:type="dxa" w:w="5112"/>
            <w:vAlign w:val="center"/>
          </w:tcPr>
          <w:p>
            <w:r/>
            <w:r>
              <w:rPr>
                <w:rFonts w:ascii="Arial" w:hAnsi="Arial" w:eastAsia="Arial"/>
                <w:b w:val="0"/>
                <w:sz w:val="17"/>
              </w:rPr>
              <w:t>Biological recognition plus signal transduction</w:t>
            </w:r>
          </w:p>
        </w:tc>
      </w:tr>
      <w:tr>
        <w:tc>
          <w:tcPr>
            <w:tcW w:type="dxa" w:w="5112"/>
            <w:vAlign w:val="center"/>
          </w:tcPr>
          <w:p>
            <w:r/>
            <w:r>
              <w:rPr>
                <w:rFonts w:ascii="Arial" w:hAnsi="Arial" w:eastAsia="Arial"/>
                <w:b w:val="0"/>
                <w:sz w:val="17"/>
              </w:rPr>
              <w:t>Why glucose?</w:t>
            </w:r>
          </w:p>
        </w:tc>
        <w:tc>
          <w:tcPr>
            <w:tcW w:type="dxa" w:w="5112"/>
            <w:vAlign w:val="center"/>
          </w:tcPr>
          <w:p>
            <w:r/>
            <w:r>
              <w:rPr>
                <w:rFonts w:ascii="Arial" w:hAnsi="Arial" w:eastAsia="Arial"/>
                <w:b w:val="0"/>
                <w:sz w:val="17"/>
              </w:rPr>
              <w:t>Familiar and widely used enzyme-sensing model</w:t>
            </w:r>
          </w:p>
        </w:tc>
      </w:tr>
      <w:tr>
        <w:tc>
          <w:tcPr>
            <w:tcW w:type="dxa" w:w="5112"/>
            <w:vAlign w:val="center"/>
          </w:tcPr>
          <w:p>
            <w:r/>
            <w:r>
              <w:rPr>
                <w:rFonts w:ascii="Arial" w:hAnsi="Arial" w:eastAsia="Arial"/>
                <w:b w:val="0"/>
                <w:sz w:val="17"/>
              </w:rPr>
              <w:t>Manual assay issues</w:t>
            </w:r>
          </w:p>
        </w:tc>
        <w:tc>
          <w:tcPr>
            <w:tcW w:type="dxa" w:w="5112"/>
            <w:vAlign w:val="center"/>
          </w:tcPr>
          <w:p>
            <w:r/>
            <w:r>
              <w:rPr>
                <w:rFonts w:ascii="Arial" w:hAnsi="Arial" w:eastAsia="Arial"/>
                <w:b w:val="0"/>
                <w:sz w:val="17"/>
              </w:rPr>
              <w:t>Timing, electrode condition, and reagent addition affect results</w:t>
            </w:r>
          </w:p>
        </w:tc>
      </w:tr>
      <w:tr>
        <w:tc>
          <w:tcPr>
            <w:tcW w:type="dxa" w:w="5112"/>
            <w:vAlign w:val="center"/>
          </w:tcPr>
          <w:p>
            <w:r/>
            <w:r>
              <w:rPr>
                <w:rFonts w:ascii="Arial" w:hAnsi="Arial" w:eastAsia="Arial"/>
                <w:b w:val="0"/>
                <w:sz w:val="17"/>
              </w:rPr>
              <w:t>Protoly role</w:t>
            </w:r>
          </w:p>
        </w:tc>
        <w:tc>
          <w:tcPr>
            <w:tcW w:type="dxa" w:w="5112"/>
            <w:vAlign w:val="center"/>
          </w:tcPr>
          <w:p>
            <w:r/>
            <w:r>
              <w:rPr>
                <w:rFonts w:ascii="Arial" w:hAnsi="Arial" w:eastAsia="Arial"/>
                <w:b w:val="0"/>
                <w:sz w:val="17"/>
              </w:rPr>
              <w:t>Structures the assay workflow</w:t>
            </w:r>
          </w:p>
        </w:tc>
      </w:tr>
      <w:tr>
        <w:tc>
          <w:tcPr>
            <w:tcW w:type="dxa" w:w="5112"/>
            <w:vAlign w:val="center"/>
          </w:tcPr>
          <w:p>
            <w:r/>
            <w:r>
              <w:rPr>
                <w:rFonts w:ascii="Arial" w:hAnsi="Arial" w:eastAsia="Arial"/>
                <w:b w:val="0"/>
                <w:sz w:val="17"/>
              </w:rPr>
              <w:t>NSL role</w:t>
            </w:r>
          </w:p>
        </w:tc>
        <w:tc>
          <w:tcPr>
            <w:tcW w:type="dxa" w:w="5112"/>
            <w:vAlign w:val="center"/>
          </w:tcPr>
          <w:p>
            <w:r/>
            <w:r>
              <w:rPr>
                <w:rFonts w:ascii="Arial" w:hAnsi="Arial" w:eastAsia="Arial"/>
                <w:b w:val="0"/>
                <w:sz w:val="17"/>
              </w:rPr>
              <w:t>Dispensing, waiting, electrochemical operation, and documentation</w:t>
            </w:r>
          </w:p>
        </w:tc>
      </w:tr>
      <w:tr>
        <w:tc>
          <w:tcPr>
            <w:tcW w:type="dxa" w:w="5112"/>
            <w:vAlign w:val="center"/>
          </w:tcPr>
          <w:p>
            <w:r/>
            <w:r>
              <w:rPr>
                <w:rFonts w:ascii="Arial" w:hAnsi="Arial" w:eastAsia="Arial"/>
                <w:b w:val="0"/>
                <w:sz w:val="17"/>
              </w:rPr>
              <w:t>Output</w:t>
            </w:r>
          </w:p>
        </w:tc>
        <w:tc>
          <w:tcPr>
            <w:tcW w:type="dxa" w:w="5112"/>
            <w:vAlign w:val="center"/>
          </w:tcPr>
          <w:p>
            <w:r/>
            <w:r>
              <w:rPr>
                <w:rFonts w:ascii="Arial" w:hAnsi="Arial" w:eastAsia="Arial"/>
                <w:b w:val="0"/>
                <w:sz w:val="17"/>
              </w:rPr>
              <w:t>Electrochemical response data</w:t>
            </w:r>
          </w:p>
        </w:tc>
      </w:tr>
      <w:tr>
        <w:tc>
          <w:tcPr>
            <w:tcW w:type="dxa" w:w="5112"/>
            <w:vAlign w:val="center"/>
          </w:tcPr>
          <w:p>
            <w:r/>
            <w:r>
              <w:rPr>
                <w:rFonts w:ascii="Arial" w:hAnsi="Arial" w:eastAsia="Arial"/>
                <w:b w:val="0"/>
                <w:sz w:val="17"/>
              </w:rPr>
              <w:t>Offline analysis</w:t>
            </w:r>
          </w:p>
        </w:tc>
        <w:tc>
          <w:tcPr>
            <w:tcW w:type="dxa" w:w="5112"/>
            <w:vAlign w:val="center"/>
          </w:tcPr>
          <w:p>
            <w:r/>
            <w:r>
              <w:rPr>
                <w:rFonts w:ascii="Arial" w:hAnsi="Arial" w:eastAsia="Arial"/>
                <w:b w:val="0"/>
                <w:sz w:val="17"/>
              </w:rPr>
              <w:t>Calibration, sensitivity, selectivity, and validation</w:t>
            </w:r>
          </w:p>
        </w:tc>
      </w:tr>
      <w:tr>
        <w:tc>
          <w:tcPr>
            <w:tcW w:type="dxa" w:w="5112"/>
            <w:vAlign w:val="center"/>
          </w:tcPr>
          <w:p>
            <w:r/>
            <w:r>
              <w:rPr>
                <w:rFonts w:ascii="Arial" w:hAnsi="Arial" w:eastAsia="Arial"/>
                <w:b w:val="0"/>
                <w:sz w:val="17"/>
              </w:rPr>
              <w:t>Limitation</w:t>
            </w:r>
          </w:p>
        </w:tc>
        <w:tc>
          <w:tcPr>
            <w:tcW w:type="dxa" w:w="5112"/>
            <w:vAlign w:val="center"/>
          </w:tcPr>
          <w:p>
            <w:r/>
            <w:r>
              <w:rPr>
                <w:rFonts w:ascii="Arial" w:hAnsi="Arial" w:eastAsia="Arial"/>
                <w:b w:val="0"/>
                <w:sz w:val="17"/>
              </w:rPr>
              <w:t>Educational model, not diagnostic device</w:t>
            </w:r>
          </w:p>
        </w:tc>
      </w:tr>
    </w:tbl>
    <w:p/>
    <w:p>
      <w:pPr>
        <w:pStyle w:val="Heading1"/>
      </w:pPr>
      <w:r>
        <w:t>19. Safety Considerations</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Safety point</w:t>
            </w:r>
          </w:p>
        </w:tc>
        <w:tc>
          <w:tcPr>
            <w:tcW w:type="dxa" w:w="5112"/>
            <w:vAlign w:val="center"/>
            <w:shd w:fill="1F4E79"/>
          </w:tcPr>
          <w:p>
            <w:r/>
            <w:r>
              <w:rPr>
                <w:rFonts w:ascii="Arial" w:hAnsi="Arial" w:eastAsia="Arial"/>
                <w:b/>
                <w:color w:val="FFFFFF"/>
                <w:sz w:val="17"/>
              </w:rPr>
              <w:t>Explanation</w:t>
            </w:r>
          </w:p>
        </w:tc>
      </w:tr>
      <w:tr>
        <w:tc>
          <w:tcPr>
            <w:tcW w:type="dxa" w:w="5112"/>
            <w:vAlign w:val="center"/>
          </w:tcPr>
          <w:p>
            <w:r/>
            <w:r>
              <w:rPr>
                <w:rFonts w:ascii="Arial" w:hAnsi="Arial" w:eastAsia="Arial"/>
                <w:b w:val="0"/>
                <w:sz w:val="17"/>
              </w:rPr>
              <w:t>Use laboratory PPE</w:t>
            </w:r>
          </w:p>
        </w:tc>
        <w:tc>
          <w:tcPr>
            <w:tcW w:type="dxa" w:w="5112"/>
            <w:vAlign w:val="center"/>
          </w:tcPr>
          <w:p>
            <w:r/>
            <w:r>
              <w:rPr>
                <w:rFonts w:ascii="Arial" w:hAnsi="Arial" w:eastAsia="Arial"/>
                <w:b w:val="0"/>
                <w:sz w:val="17"/>
              </w:rPr>
              <w:t>Gloves, lab coat, and eye protection should be used</w:t>
            </w:r>
          </w:p>
        </w:tc>
      </w:tr>
      <w:tr>
        <w:tc>
          <w:tcPr>
            <w:tcW w:type="dxa" w:w="5112"/>
            <w:vAlign w:val="center"/>
          </w:tcPr>
          <w:p>
            <w:r/>
            <w:r>
              <w:rPr>
                <w:rFonts w:ascii="Arial" w:hAnsi="Arial" w:eastAsia="Arial"/>
                <w:b w:val="0"/>
                <w:sz w:val="17"/>
              </w:rPr>
              <w:t>Use safe glucose standards</w:t>
            </w:r>
          </w:p>
        </w:tc>
        <w:tc>
          <w:tcPr>
            <w:tcW w:type="dxa" w:w="5112"/>
            <w:vAlign w:val="center"/>
          </w:tcPr>
          <w:p>
            <w:r/>
            <w:r>
              <w:rPr>
                <w:rFonts w:ascii="Arial" w:hAnsi="Arial" w:eastAsia="Arial"/>
                <w:b w:val="0"/>
                <w:sz w:val="17"/>
              </w:rPr>
              <w:t>Prefer buffer-based standards for demonstration</w:t>
            </w:r>
          </w:p>
        </w:tc>
      </w:tr>
      <w:tr>
        <w:tc>
          <w:tcPr>
            <w:tcW w:type="dxa" w:w="5112"/>
            <w:vAlign w:val="center"/>
          </w:tcPr>
          <w:p>
            <w:r/>
            <w:r>
              <w:rPr>
                <w:rFonts w:ascii="Arial" w:hAnsi="Arial" w:eastAsia="Arial"/>
                <w:b w:val="0"/>
                <w:sz w:val="17"/>
              </w:rPr>
              <w:t>Avoid biological samples in webinar</w:t>
            </w:r>
          </w:p>
        </w:tc>
        <w:tc>
          <w:tcPr>
            <w:tcW w:type="dxa" w:w="5112"/>
            <w:vAlign w:val="center"/>
          </w:tcPr>
          <w:p>
            <w:r/>
            <w:r>
              <w:rPr>
                <w:rFonts w:ascii="Arial" w:hAnsi="Arial" w:eastAsia="Arial"/>
                <w:b w:val="0"/>
                <w:sz w:val="17"/>
              </w:rPr>
              <w:t>Blood or serum requires biosafety and ethics controls</w:t>
            </w:r>
          </w:p>
        </w:tc>
      </w:tr>
      <w:tr>
        <w:tc>
          <w:tcPr>
            <w:tcW w:type="dxa" w:w="5112"/>
            <w:vAlign w:val="center"/>
          </w:tcPr>
          <w:p>
            <w:r/>
            <w:r>
              <w:rPr>
                <w:rFonts w:ascii="Arial" w:hAnsi="Arial" w:eastAsia="Arial"/>
                <w:b w:val="0"/>
                <w:sz w:val="17"/>
              </w:rPr>
              <w:t>Handle enzymes carefully</w:t>
            </w:r>
          </w:p>
        </w:tc>
        <w:tc>
          <w:tcPr>
            <w:tcW w:type="dxa" w:w="5112"/>
            <w:vAlign w:val="center"/>
          </w:tcPr>
          <w:p>
            <w:r/>
            <w:r>
              <w:rPr>
                <w:rFonts w:ascii="Arial" w:hAnsi="Arial" w:eastAsia="Arial"/>
                <w:b w:val="0"/>
                <w:sz w:val="17"/>
              </w:rPr>
              <w:t>Avoid inhalation or direct contact with enzyme powders/solutions</w:t>
            </w:r>
          </w:p>
        </w:tc>
      </w:tr>
      <w:tr>
        <w:tc>
          <w:tcPr>
            <w:tcW w:type="dxa" w:w="5112"/>
            <w:vAlign w:val="center"/>
          </w:tcPr>
          <w:p>
            <w:r/>
            <w:r>
              <w:rPr>
                <w:rFonts w:ascii="Arial" w:hAnsi="Arial" w:eastAsia="Arial"/>
                <w:b w:val="0"/>
                <w:sz w:val="17"/>
              </w:rPr>
              <w:t>Check electrode safety</w:t>
            </w:r>
          </w:p>
        </w:tc>
        <w:tc>
          <w:tcPr>
            <w:tcW w:type="dxa" w:w="5112"/>
            <w:vAlign w:val="center"/>
          </w:tcPr>
          <w:p>
            <w:r/>
            <w:r>
              <w:rPr>
                <w:rFonts w:ascii="Arial" w:hAnsi="Arial" w:eastAsia="Arial"/>
                <w:b w:val="0"/>
                <w:sz w:val="17"/>
              </w:rPr>
              <w:t>Use only appropriate voltage/current ranges for the system</w:t>
            </w:r>
          </w:p>
        </w:tc>
      </w:tr>
      <w:tr>
        <w:tc>
          <w:tcPr>
            <w:tcW w:type="dxa" w:w="5112"/>
            <w:vAlign w:val="center"/>
          </w:tcPr>
          <w:p>
            <w:r/>
            <w:r>
              <w:rPr>
                <w:rFonts w:ascii="Arial" w:hAnsi="Arial" w:eastAsia="Arial"/>
                <w:b w:val="0"/>
                <w:sz w:val="17"/>
              </w:rPr>
              <w:t>Label all reagents</w:t>
            </w:r>
          </w:p>
        </w:tc>
        <w:tc>
          <w:tcPr>
            <w:tcW w:type="dxa" w:w="5112"/>
            <w:vAlign w:val="center"/>
          </w:tcPr>
          <w:p>
            <w:r/>
            <w:r>
              <w:rPr>
                <w:rFonts w:ascii="Arial" w:hAnsi="Arial" w:eastAsia="Arial"/>
                <w:b w:val="0"/>
                <w:sz w:val="17"/>
              </w:rPr>
              <w:t>Avoid confusion between glucose concentrations</w:t>
            </w:r>
          </w:p>
        </w:tc>
      </w:tr>
      <w:tr>
        <w:tc>
          <w:tcPr>
            <w:tcW w:type="dxa" w:w="5112"/>
            <w:vAlign w:val="center"/>
          </w:tcPr>
          <w:p>
            <w:r/>
            <w:r>
              <w:rPr>
                <w:rFonts w:ascii="Arial" w:hAnsi="Arial" w:eastAsia="Arial"/>
                <w:b w:val="0"/>
                <w:sz w:val="17"/>
              </w:rPr>
              <w:t>Dispose waste properly</w:t>
            </w:r>
          </w:p>
        </w:tc>
        <w:tc>
          <w:tcPr>
            <w:tcW w:type="dxa" w:w="5112"/>
            <w:vAlign w:val="center"/>
          </w:tcPr>
          <w:p>
            <w:r/>
            <w:r>
              <w:rPr>
                <w:rFonts w:ascii="Arial" w:hAnsi="Arial" w:eastAsia="Arial"/>
                <w:b w:val="0"/>
                <w:sz w:val="17"/>
              </w:rPr>
              <w:t>Dispose enzyme/electrolyte solutions as per laboratory guidelines</w:t>
            </w:r>
          </w:p>
        </w:tc>
      </w:tr>
      <w:tr>
        <w:tc>
          <w:tcPr>
            <w:tcW w:type="dxa" w:w="5112"/>
            <w:vAlign w:val="center"/>
          </w:tcPr>
          <w:p>
            <w:r/>
            <w:r>
              <w:rPr>
                <w:rFonts w:ascii="Arial" w:hAnsi="Arial" w:eastAsia="Arial"/>
                <w:b w:val="0"/>
                <w:sz w:val="17"/>
              </w:rPr>
              <w:t>Avoid medical claims</w:t>
            </w:r>
          </w:p>
        </w:tc>
        <w:tc>
          <w:tcPr>
            <w:tcW w:type="dxa" w:w="5112"/>
            <w:vAlign w:val="center"/>
          </w:tcPr>
          <w:p>
            <w:r/>
            <w:r>
              <w:rPr>
                <w:rFonts w:ascii="Arial" w:hAnsi="Arial" w:eastAsia="Arial"/>
                <w:b w:val="0"/>
                <w:sz w:val="17"/>
              </w:rPr>
              <w:t>Do not present the model as a diagnostic test</w:t>
            </w:r>
          </w:p>
        </w:tc>
      </w:tr>
    </w:tbl>
    <w:p/>
    <w:p>
      <w:pPr>
        <w:pStyle w:val="Heading1"/>
      </w:pPr>
      <w:r>
        <w:t>20. Limitations</w:t>
      </w:r>
    </w:p>
    <w:p>
      <w:r>
        <w:rPr>
          <w:rFonts w:ascii="Arial" w:hAnsi="Arial" w:eastAsia="Arial"/>
          <w:sz w:val="20"/>
        </w:rPr>
        <w:t>This protocol has a defined scope and should not be overinterpreted. It is suitable for research, training, and demonstration, but not for clinical diagnosis.</w:t>
      </w:r>
    </w:p>
    <w:p>
      <w:pPr>
        <w:ind w:left="360" w:hanging="216"/>
      </w:pPr>
      <w:r>
        <w:rPr>
          <w:rFonts w:ascii="Arial" w:hAnsi="Arial" w:eastAsia="Arial"/>
          <w:sz w:val="20"/>
        </w:rPr>
        <w:t>• It does not validate a clinical glucose meter.</w:t>
      </w:r>
    </w:p>
    <w:p>
      <w:pPr>
        <w:ind w:left="360" w:hanging="216"/>
      </w:pPr>
      <w:r>
        <w:rPr>
          <w:rFonts w:ascii="Arial" w:hAnsi="Arial" w:eastAsia="Arial"/>
          <w:sz w:val="20"/>
        </w:rPr>
        <w:t>• It does not prove diagnostic accuracy.</w:t>
      </w:r>
    </w:p>
    <w:p>
      <w:pPr>
        <w:ind w:left="360" w:hanging="216"/>
      </w:pPr>
      <w:r>
        <w:rPr>
          <w:rFonts w:ascii="Arial" w:hAnsi="Arial" w:eastAsia="Arial"/>
          <w:sz w:val="20"/>
        </w:rPr>
        <w:t>• It does not automatically calculate sensitivity, detection limit, or selectivity.</w:t>
      </w:r>
    </w:p>
    <w:p>
      <w:pPr>
        <w:ind w:left="360" w:hanging="216"/>
      </w:pPr>
      <w:r>
        <w:rPr>
          <w:rFonts w:ascii="Arial" w:hAnsi="Arial" w:eastAsia="Arial"/>
          <w:sz w:val="20"/>
        </w:rPr>
        <w:t>• It does not confirm enzyme immobilization quality unless tested externally.</w:t>
      </w:r>
    </w:p>
    <w:p>
      <w:pPr>
        <w:ind w:left="360" w:hanging="216"/>
      </w:pPr>
      <w:r>
        <w:rPr>
          <w:rFonts w:ascii="Arial" w:hAnsi="Arial" w:eastAsia="Arial"/>
          <w:sz w:val="20"/>
        </w:rPr>
        <w:t>• It does not validate electrode reproducibility without repeated testing.</w:t>
      </w:r>
    </w:p>
    <w:p>
      <w:pPr>
        <w:ind w:left="360" w:hanging="216"/>
      </w:pPr>
      <w:r>
        <w:rPr>
          <w:rFonts w:ascii="Arial" w:hAnsi="Arial" w:eastAsia="Arial"/>
          <w:sz w:val="20"/>
        </w:rPr>
        <w:t>• It does not include real biological sample validation.</w:t>
      </w:r>
    </w:p>
    <w:p>
      <w:pPr>
        <w:ind w:left="360" w:hanging="216"/>
      </w:pPr>
      <w:r>
        <w:rPr>
          <w:rFonts w:ascii="Arial" w:hAnsi="Arial" w:eastAsia="Arial"/>
          <w:sz w:val="20"/>
        </w:rPr>
        <w:t>• It does not replace regulated analytical method validation.</w:t>
      </w:r>
    </w:p>
    <w:p>
      <w:pPr>
        <w:ind w:left="360" w:hanging="216"/>
      </w:pPr>
      <w:r>
        <w:rPr>
          <w:rFonts w:ascii="Arial" w:hAnsi="Arial" w:eastAsia="Arial"/>
          <w:sz w:val="20"/>
        </w:rPr>
        <w:t>• It does not guarantee long-term sensor stability.</w:t>
      </w:r>
    </w:p>
    <w:p>
      <w:pPr>
        <w:pStyle w:val="Heading1"/>
      </w:pPr>
      <w:r>
        <w:t>21. Future Development Possibilities</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1F4E79"/>
          </w:tcPr>
          <w:p>
            <w:r/>
            <w:r>
              <w:rPr>
                <w:rFonts w:ascii="Arial" w:hAnsi="Arial" w:eastAsia="Arial"/>
                <w:b/>
                <w:color w:val="FFFFFF"/>
                <w:sz w:val="17"/>
              </w:rPr>
              <w:t>Future extension</w:t>
            </w:r>
          </w:p>
        </w:tc>
        <w:tc>
          <w:tcPr>
            <w:tcW w:type="dxa" w:w="5112"/>
            <w:vAlign w:val="center"/>
            <w:shd w:fill="1F4E79"/>
          </w:tcPr>
          <w:p>
            <w:r/>
            <w:r>
              <w:rPr>
                <w:rFonts w:ascii="Arial" w:hAnsi="Arial" w:eastAsia="Arial"/>
                <w:b/>
                <w:color w:val="FFFFFF"/>
                <w:sz w:val="17"/>
              </w:rPr>
              <w:t>Purpose</w:t>
            </w:r>
          </w:p>
        </w:tc>
      </w:tr>
      <w:tr>
        <w:tc>
          <w:tcPr>
            <w:tcW w:type="dxa" w:w="5112"/>
            <w:vAlign w:val="center"/>
          </w:tcPr>
          <w:p>
            <w:r/>
            <w:r>
              <w:rPr>
                <w:rFonts w:ascii="Arial" w:hAnsi="Arial" w:eastAsia="Arial"/>
                <w:b w:val="0"/>
                <w:sz w:val="17"/>
              </w:rPr>
              <w:t>Glucose calibration curve protocol</w:t>
            </w:r>
          </w:p>
        </w:tc>
        <w:tc>
          <w:tcPr>
            <w:tcW w:type="dxa" w:w="5112"/>
            <w:vAlign w:val="center"/>
          </w:tcPr>
          <w:p>
            <w:r/>
            <w:r>
              <w:rPr>
                <w:rFonts w:ascii="Arial" w:hAnsi="Arial" w:eastAsia="Arial"/>
                <w:b w:val="0"/>
                <w:sz w:val="17"/>
              </w:rPr>
              <w:t>Generate standard response curves</w:t>
            </w:r>
          </w:p>
        </w:tc>
      </w:tr>
      <w:tr>
        <w:tc>
          <w:tcPr>
            <w:tcW w:type="dxa" w:w="5112"/>
            <w:vAlign w:val="center"/>
          </w:tcPr>
          <w:p>
            <w:r/>
            <w:r>
              <w:rPr>
                <w:rFonts w:ascii="Arial" w:hAnsi="Arial" w:eastAsia="Arial"/>
                <w:b w:val="0"/>
                <w:sz w:val="17"/>
              </w:rPr>
              <w:t>Mediator comparison study</w:t>
            </w:r>
          </w:p>
        </w:tc>
        <w:tc>
          <w:tcPr>
            <w:tcW w:type="dxa" w:w="5112"/>
            <w:vAlign w:val="center"/>
          </w:tcPr>
          <w:p>
            <w:r/>
            <w:r>
              <w:rPr>
                <w:rFonts w:ascii="Arial" w:hAnsi="Arial" w:eastAsia="Arial"/>
                <w:b w:val="0"/>
                <w:sz w:val="17"/>
              </w:rPr>
              <w:t>Compare mediator-based signal performance</w:t>
            </w:r>
          </w:p>
        </w:tc>
      </w:tr>
      <w:tr>
        <w:tc>
          <w:tcPr>
            <w:tcW w:type="dxa" w:w="5112"/>
            <w:vAlign w:val="center"/>
          </w:tcPr>
          <w:p>
            <w:r/>
            <w:r>
              <w:rPr>
                <w:rFonts w:ascii="Arial" w:hAnsi="Arial" w:eastAsia="Arial"/>
                <w:b w:val="0"/>
                <w:sz w:val="17"/>
              </w:rPr>
              <w:t>Electrode material comparison</w:t>
            </w:r>
          </w:p>
        </w:tc>
        <w:tc>
          <w:tcPr>
            <w:tcW w:type="dxa" w:w="5112"/>
            <w:vAlign w:val="center"/>
          </w:tcPr>
          <w:p>
            <w:r/>
            <w:r>
              <w:rPr>
                <w:rFonts w:ascii="Arial" w:hAnsi="Arial" w:eastAsia="Arial"/>
                <w:b w:val="0"/>
                <w:sz w:val="17"/>
              </w:rPr>
              <w:t>Evaluate carbon, gold, platinum, or modified electrodes</w:t>
            </w:r>
          </w:p>
        </w:tc>
      </w:tr>
      <w:tr>
        <w:tc>
          <w:tcPr>
            <w:tcW w:type="dxa" w:w="5112"/>
            <w:vAlign w:val="center"/>
          </w:tcPr>
          <w:p>
            <w:r/>
            <w:r>
              <w:rPr>
                <w:rFonts w:ascii="Arial" w:hAnsi="Arial" w:eastAsia="Arial"/>
                <w:b w:val="0"/>
                <w:sz w:val="17"/>
              </w:rPr>
              <w:t>Enzyme immobilization optimization</w:t>
            </w:r>
          </w:p>
        </w:tc>
        <w:tc>
          <w:tcPr>
            <w:tcW w:type="dxa" w:w="5112"/>
            <w:vAlign w:val="center"/>
          </w:tcPr>
          <w:p>
            <w:r/>
            <w:r>
              <w:rPr>
                <w:rFonts w:ascii="Arial" w:hAnsi="Arial" w:eastAsia="Arial"/>
                <w:b w:val="0"/>
                <w:sz w:val="17"/>
              </w:rPr>
              <w:t>Improve biosensor response and stability</w:t>
            </w:r>
          </w:p>
        </w:tc>
      </w:tr>
      <w:tr>
        <w:tc>
          <w:tcPr>
            <w:tcW w:type="dxa" w:w="5112"/>
            <w:vAlign w:val="center"/>
          </w:tcPr>
          <w:p>
            <w:r/>
            <w:r>
              <w:rPr>
                <w:rFonts w:ascii="Arial" w:hAnsi="Arial" w:eastAsia="Arial"/>
                <w:b w:val="0"/>
                <w:sz w:val="17"/>
              </w:rPr>
              <w:t>Interference study</w:t>
            </w:r>
          </w:p>
        </w:tc>
        <w:tc>
          <w:tcPr>
            <w:tcW w:type="dxa" w:w="5112"/>
            <w:vAlign w:val="center"/>
          </w:tcPr>
          <w:p>
            <w:r/>
            <w:r>
              <w:rPr>
                <w:rFonts w:ascii="Arial" w:hAnsi="Arial" w:eastAsia="Arial"/>
                <w:b w:val="0"/>
                <w:sz w:val="17"/>
              </w:rPr>
              <w:t>Test selectivity against common interferents</w:t>
            </w:r>
          </w:p>
        </w:tc>
      </w:tr>
      <w:tr>
        <w:tc>
          <w:tcPr>
            <w:tcW w:type="dxa" w:w="5112"/>
            <w:vAlign w:val="center"/>
          </w:tcPr>
          <w:p>
            <w:r/>
            <w:r>
              <w:rPr>
                <w:rFonts w:ascii="Arial" w:hAnsi="Arial" w:eastAsia="Arial"/>
                <w:b w:val="0"/>
                <w:sz w:val="17"/>
              </w:rPr>
              <w:t>Repeatability study</w:t>
            </w:r>
          </w:p>
        </w:tc>
        <w:tc>
          <w:tcPr>
            <w:tcW w:type="dxa" w:w="5112"/>
            <w:vAlign w:val="center"/>
          </w:tcPr>
          <w:p>
            <w:r/>
            <w:r>
              <w:rPr>
                <w:rFonts w:ascii="Arial" w:hAnsi="Arial" w:eastAsia="Arial"/>
                <w:b w:val="0"/>
                <w:sz w:val="17"/>
              </w:rPr>
              <w:t>Compare multiple runs and electrodes</w:t>
            </w:r>
          </w:p>
        </w:tc>
      </w:tr>
      <w:tr>
        <w:tc>
          <w:tcPr>
            <w:tcW w:type="dxa" w:w="5112"/>
            <w:vAlign w:val="center"/>
          </w:tcPr>
          <w:p>
            <w:r/>
            <w:r>
              <w:rPr>
                <w:rFonts w:ascii="Arial" w:hAnsi="Arial" w:eastAsia="Arial"/>
                <w:b w:val="0"/>
                <w:sz w:val="17"/>
              </w:rPr>
              <w:t>Nanomaterial-modified glucose sensor</w:t>
            </w:r>
          </w:p>
        </w:tc>
        <w:tc>
          <w:tcPr>
            <w:tcW w:type="dxa" w:w="5112"/>
            <w:vAlign w:val="center"/>
          </w:tcPr>
          <w:p>
            <w:r/>
            <w:r>
              <w:rPr>
                <w:rFonts w:ascii="Arial" w:hAnsi="Arial" w:eastAsia="Arial"/>
                <w:b w:val="0"/>
                <w:sz w:val="17"/>
              </w:rPr>
              <w:t>Combine nanoparticle protocols with biosensor development</w:t>
            </w:r>
          </w:p>
        </w:tc>
      </w:tr>
      <w:tr>
        <w:tc>
          <w:tcPr>
            <w:tcW w:type="dxa" w:w="5112"/>
            <w:vAlign w:val="center"/>
          </w:tcPr>
          <w:p>
            <w:r/>
            <w:r>
              <w:rPr>
                <w:rFonts w:ascii="Arial" w:hAnsi="Arial" w:eastAsia="Arial"/>
                <w:b w:val="0"/>
                <w:sz w:val="17"/>
              </w:rPr>
              <w:t>Real-sample model study</w:t>
            </w:r>
          </w:p>
        </w:tc>
        <w:tc>
          <w:tcPr>
            <w:tcW w:type="dxa" w:w="5112"/>
            <w:vAlign w:val="center"/>
          </w:tcPr>
          <w:p>
            <w:r/>
            <w:r>
              <w:rPr>
                <w:rFonts w:ascii="Arial" w:hAnsi="Arial" w:eastAsia="Arial"/>
                <w:b w:val="0"/>
                <w:sz w:val="17"/>
              </w:rPr>
              <w:t>Move from buffer standards to controlled sample matrices</w:t>
            </w:r>
          </w:p>
        </w:tc>
      </w:tr>
      <w:tr>
        <w:tc>
          <w:tcPr>
            <w:tcW w:type="dxa" w:w="5112"/>
            <w:vAlign w:val="center"/>
          </w:tcPr>
          <w:p>
            <w:r/>
            <w:r>
              <w:rPr>
                <w:rFonts w:ascii="Arial" w:hAnsi="Arial" w:eastAsia="Arial"/>
                <w:b w:val="0"/>
                <w:sz w:val="17"/>
              </w:rPr>
              <w:t>Manual vs NSL-assisted assay comparison</w:t>
            </w:r>
          </w:p>
        </w:tc>
        <w:tc>
          <w:tcPr>
            <w:tcW w:type="dxa" w:w="5112"/>
            <w:vAlign w:val="center"/>
          </w:tcPr>
          <w:p>
            <w:r/>
            <w:r>
              <w:rPr>
                <w:rFonts w:ascii="Arial" w:hAnsi="Arial" w:eastAsia="Arial"/>
                <w:b w:val="0"/>
                <w:sz w:val="17"/>
              </w:rPr>
              <w:t>Demonstrate repeatability and documentation benefits</w:t>
            </w:r>
          </w:p>
        </w:tc>
      </w:tr>
    </w:tbl>
    <w:p/>
    <w:p>
      <w:pPr>
        <w:pStyle w:val="Heading1"/>
      </w:pPr>
      <w:r>
        <w:t>22. Overall Significance</w:t>
      </w:r>
    </w:p>
    <w:p>
      <w:r>
        <w:rPr>
          <w:rFonts w:ascii="Arial" w:hAnsi="Arial" w:eastAsia="Arial"/>
          <w:sz w:val="20"/>
        </w:rPr>
        <w:t>This protocol adds a biosensor and electrochemical assay dimension to the Protoly protocol library. It complements the nanoparticle, hydrogel, liposome, and conjugation protocols by demonstrating how Protoly can also manage analytical workflows that generate measurement data rather than only material products.</w:t>
      </w:r>
    </w:p>
    <w:p>
      <w:r>
        <w:rPr>
          <w:rFonts w:ascii="Arial" w:hAnsi="Arial" w:eastAsia="Arial"/>
          <w:sz w:val="20"/>
        </w:rPr>
        <w:t>The protocol is useful because it links biochemical recognition, electrochemical transduction, structured protocol execution, and external analytical validation. It can help students and researchers understand how biosensor assays are designed, how variables affect signal output, and why repeatable workflow execution is important.</w:t>
      </w:r>
    </w:p>
    <w:p>
      <w:pPr>
        <w:pStyle w:val="Heading1"/>
      </w:pPr>
      <w:r>
        <w:t>23. Suggested Supporting Information Summary</w:t>
      </w:r>
    </w:p>
    <w:p>
      <w:r>
        <w:rPr>
          <w:rFonts w:ascii="Arial" w:hAnsi="Arial" w:eastAsia="Arial"/>
          <w:sz w:val="20"/>
        </w:rPr>
        <w:t>The automated electrochemical glucose detection protocol demonstrates how an enzyme-based biosensor assay can be structured in Protoly and partially supported by NSL modules. NSL can assist with reagent dispensing, timed incubation, electrochemical operation, stirring, illumination, camera documentation, exhaust support, and ambient chamber condition logging. These capabilities help organize the assay sequence and reduce manual variation during early-stage glucose sensing demonstrations.</w:t>
      </w:r>
    </w:p>
    <w:p>
      <w:r>
        <w:rPr>
          <w:rFonts w:ascii="Arial" w:hAnsi="Arial" w:eastAsia="Arial"/>
          <w:sz w:val="20"/>
        </w:rPr>
        <w:t>The protocol is intended for research, education, and early biosensor development only. It does not independently establish analytical performance, diagnostic accuracy, clinical validity, or regulatory suitability. Detailed calibration, sensitivity analysis, selectivity testing, repeatability assessment, real-sample validation, and long-term stability evaluation should be performed externally.</w:t>
      </w:r>
    </w:p>
    <w:p>
      <w:r>
        <w:rPr>
          <w:rFonts w:ascii="Arial" w:hAnsi="Arial" w:eastAsia="Arial"/>
          <w:sz w:val="20"/>
        </w:rPr>
        <w:t>Overall, this protocol is valuable because it shows how Protoly and NSL can support electrochemical biosensor workflows while clearly separating automation-assisted assay execution from offline analytical validation.</w:t>
      </w:r>
    </w:p>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6"/>
      </w:rPr>
      <w:t>Protocol_15_details | Supporting Information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F549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4444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Protocol_15_details</dc:title>
  <dc:subject>Supporting information for Protocol 15</dc:subject>
  <dc:creator>OpenAI</dc:creator>
  <cp:keywords/>
  <dc:description>generated by python-docx</dc:description>
  <cp:lastModifiedBy/>
  <cp:revision>1</cp:revision>
  <dcterms:created xsi:type="dcterms:W3CDTF">2013-12-23T23:15:00Z</dcterms:created>
  <dcterms:modified xsi:type="dcterms:W3CDTF">2013-12-23T23:15:00Z</dcterms:modified>
  <cp:category/>
</cp:coreProperties>
</file>