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4E79"/>
          <w:sz w:val="36"/>
        </w:rPr>
        <w:t>Supporting Information Document</w:t>
      </w:r>
    </w:p>
    <w:p>
      <w:pPr>
        <w:jc w:val="center"/>
      </w:pPr>
      <w:r>
        <w:rPr>
          <w:rFonts w:ascii="Arial" w:hAnsi="Arial"/>
          <w:b/>
          <w:sz w:val="28"/>
        </w:rPr>
        <w:t>Protocol 16: Automated Enzyme Kinetics Study of Catalase Activity Using Hydrogen Peroxide Decomposition Assay</w:t>
      </w:r>
    </w:p>
    <w:p>
      <w:pPr>
        <w:jc w:val="center"/>
      </w:pPr>
      <w:r>
        <w:rPr>
          <w:rFonts w:ascii="Arial" w:hAnsi="Arial"/>
          <w:i/>
          <w:sz w:val="22"/>
        </w:rPr>
        <w:t>Deeper Context, Scientific Intent, Automation Logic, and Webinar Explanation</w:t>
      </w:r>
    </w:p>
    <w:p/>
    <w:p>
      <w:pPr>
        <w:pStyle w:val="Heading1"/>
      </w:pPr>
      <w:r>
        <w:t>1. Support Status on Protoly / NSL</w:t>
      </w:r>
    </w:p>
    <w:p>
      <w:r>
        <w:t>This protocol is partially NSL-supported. Protoly can manage the full protocol record, while the NSL platform can support selected physical actions required for an enzyme assay workflow. These include reagent dispensing, timed waiting, controlled mixing, mild temperature conditioning, chamber illumination, camera-based visual documentation, exhaust control, and ambient chamber environment logging.</w:t>
      </w:r>
    </w:p>
    <w:tbl>
      <w:tblPr>
        <w:tblStyle w:val="TableGrid"/>
        <w:tblW w:type="auto" w:w="0"/>
        <w:jc w:val="center"/>
        <w:tblLook w:firstColumn="1" w:firstRow="1" w:lastColumn="0" w:lastRow="0" w:noHBand="0" w:noVBand="1" w:val="04A0"/>
      </w:tblPr>
      <w:tblGrid>
        <w:gridCol w:w="5040"/>
        <w:gridCol w:w="5040"/>
      </w:tblGrid>
      <w:tr>
        <w:tc>
          <w:tcPr>
            <w:tcW w:type="dxa" w:w="2592"/>
            <w:vAlign w:val="center"/>
            <w:shd w:fill="D9EAF7"/>
          </w:tcPr>
          <w:p>
            <w:r/>
            <w:r>
              <w:rPr>
                <w:b/>
                <w:sz w:val="18"/>
              </w:rPr>
              <w:t>NSL Module</w:t>
            </w:r>
          </w:p>
        </w:tc>
        <w:tc>
          <w:tcPr>
            <w:tcW w:type="dxa" w:w="6912"/>
            <w:vAlign w:val="center"/>
            <w:shd w:fill="D9EAF7"/>
          </w:tcPr>
          <w:p>
            <w:r/>
            <w:r>
              <w:rPr>
                <w:b/>
                <w:sz w:val="18"/>
              </w:rPr>
              <w:t>Role in This Protocol</w:t>
            </w:r>
          </w:p>
        </w:tc>
      </w:tr>
      <w:tr>
        <w:tc>
          <w:tcPr>
            <w:tcW w:type="dxa" w:w="2592"/>
            <w:vAlign w:val="center"/>
          </w:tcPr>
          <w:p>
            <w:r/>
            <w:r>
              <w:rPr>
                <w:b w:val="0"/>
                <w:sz w:val="18"/>
              </w:rPr>
              <w:t>Sterilization UV</w:t>
            </w:r>
          </w:p>
        </w:tc>
        <w:tc>
          <w:tcPr>
            <w:tcW w:type="dxa" w:w="6912"/>
            <w:vAlign w:val="center"/>
          </w:tcPr>
          <w:p>
            <w:r/>
            <w:r>
              <w:rPr>
                <w:b w:val="0"/>
                <w:sz w:val="18"/>
              </w:rPr>
              <w:t>Pre-run chamber preparation before assay handling.</w:t>
            </w:r>
          </w:p>
        </w:tc>
      </w:tr>
      <w:tr>
        <w:tc>
          <w:tcPr>
            <w:tcW w:type="dxa" w:w="2592"/>
            <w:vAlign w:val="center"/>
          </w:tcPr>
          <w:p>
            <w:r/>
            <w:r>
              <w:rPr>
                <w:b w:val="0"/>
                <w:sz w:val="18"/>
              </w:rPr>
              <w:t>Reservoir Dispense</w:t>
            </w:r>
          </w:p>
        </w:tc>
        <w:tc>
          <w:tcPr>
            <w:tcW w:type="dxa" w:w="6912"/>
            <w:vAlign w:val="center"/>
          </w:tcPr>
          <w:p>
            <w:r/>
            <w:r>
              <w:rPr>
                <w:b w:val="0"/>
                <w:sz w:val="18"/>
              </w:rPr>
              <w:t>Addition of buffer, hydrogen peroxide solution, enzyme solution, water, inhibitor/control solution, or quenching reagent where applicable.</w:t>
            </w:r>
          </w:p>
        </w:tc>
      </w:tr>
      <w:tr>
        <w:tc>
          <w:tcPr>
            <w:tcW w:type="dxa" w:w="2592"/>
            <w:vAlign w:val="center"/>
          </w:tcPr>
          <w:p>
            <w:r/>
            <w:r>
              <w:rPr>
                <w:b w:val="0"/>
                <w:sz w:val="18"/>
              </w:rPr>
              <w:t>Stirrer</w:t>
            </w:r>
          </w:p>
        </w:tc>
        <w:tc>
          <w:tcPr>
            <w:tcW w:type="dxa" w:w="6912"/>
            <w:vAlign w:val="center"/>
          </w:tcPr>
          <w:p>
            <w:r/>
            <w:r>
              <w:rPr>
                <w:b w:val="0"/>
                <w:sz w:val="18"/>
              </w:rPr>
              <w:t>Gentle mixing after reagent addition to improve assay uniformity.</w:t>
            </w:r>
          </w:p>
        </w:tc>
      </w:tr>
      <w:tr>
        <w:tc>
          <w:tcPr>
            <w:tcW w:type="dxa" w:w="2592"/>
            <w:vAlign w:val="center"/>
          </w:tcPr>
          <w:p>
            <w:r/>
            <w:r>
              <w:rPr>
                <w:b w:val="0"/>
                <w:sz w:val="18"/>
              </w:rPr>
              <w:t>Heater</w:t>
            </w:r>
          </w:p>
        </w:tc>
        <w:tc>
          <w:tcPr>
            <w:tcW w:type="dxa" w:w="6912"/>
            <w:vAlign w:val="center"/>
          </w:tcPr>
          <w:p>
            <w:r/>
            <w:r>
              <w:rPr>
                <w:b w:val="0"/>
                <w:sz w:val="18"/>
              </w:rPr>
              <w:t>Mild temperature conditioning or incubation support, if required by the assay design.</w:t>
            </w:r>
          </w:p>
        </w:tc>
      </w:tr>
      <w:tr>
        <w:tc>
          <w:tcPr>
            <w:tcW w:type="dxa" w:w="2592"/>
            <w:vAlign w:val="center"/>
          </w:tcPr>
          <w:p>
            <w:r/>
            <w:r>
              <w:rPr>
                <w:b w:val="0"/>
                <w:sz w:val="18"/>
              </w:rPr>
              <w:t>Wait</w:t>
            </w:r>
          </w:p>
        </w:tc>
        <w:tc>
          <w:tcPr>
            <w:tcW w:type="dxa" w:w="6912"/>
            <w:vAlign w:val="center"/>
          </w:tcPr>
          <w:p>
            <w:r/>
            <w:r>
              <w:rPr>
                <w:b w:val="0"/>
                <w:sz w:val="18"/>
              </w:rPr>
              <w:t>Timed reaction interval for catalytic decomposition and kinetic comparison.</w:t>
            </w:r>
          </w:p>
        </w:tc>
      </w:tr>
      <w:tr>
        <w:tc>
          <w:tcPr>
            <w:tcW w:type="dxa" w:w="2592"/>
            <w:vAlign w:val="center"/>
          </w:tcPr>
          <w:p>
            <w:r/>
            <w:r>
              <w:rPr>
                <w:b w:val="0"/>
                <w:sz w:val="18"/>
              </w:rPr>
              <w:t>LED Illumination</w:t>
            </w:r>
          </w:p>
        </w:tc>
        <w:tc>
          <w:tcPr>
            <w:tcW w:type="dxa" w:w="6912"/>
            <w:vAlign w:val="center"/>
          </w:tcPr>
          <w:p>
            <w:r/>
            <w:r>
              <w:rPr>
                <w:b w:val="0"/>
                <w:sz w:val="18"/>
              </w:rPr>
              <w:t>White light support for camera-based visual observation.</w:t>
            </w:r>
          </w:p>
        </w:tc>
      </w:tr>
      <w:tr>
        <w:tc>
          <w:tcPr>
            <w:tcW w:type="dxa" w:w="2592"/>
            <w:vAlign w:val="center"/>
          </w:tcPr>
          <w:p>
            <w:r/>
            <w:r>
              <w:rPr>
                <w:b w:val="0"/>
                <w:sz w:val="18"/>
              </w:rPr>
              <w:t>Camera</w:t>
            </w:r>
          </w:p>
        </w:tc>
        <w:tc>
          <w:tcPr>
            <w:tcW w:type="dxa" w:w="6912"/>
            <w:vAlign w:val="center"/>
          </w:tcPr>
          <w:p>
            <w:r/>
            <w:r>
              <w:rPr>
                <w:b w:val="0"/>
                <w:sz w:val="18"/>
              </w:rPr>
              <w:t>Visual documentation of bubbling, foam formation, colour indicator change, or general assay appearance.</w:t>
            </w:r>
          </w:p>
        </w:tc>
      </w:tr>
      <w:tr>
        <w:tc>
          <w:tcPr>
            <w:tcW w:type="dxa" w:w="2592"/>
            <w:vAlign w:val="center"/>
          </w:tcPr>
          <w:p>
            <w:r/>
            <w:r>
              <w:rPr>
                <w:b w:val="0"/>
                <w:sz w:val="18"/>
              </w:rPr>
              <w:t>Environment Sensors</w:t>
            </w:r>
          </w:p>
        </w:tc>
        <w:tc>
          <w:tcPr>
            <w:tcW w:type="dxa" w:w="6912"/>
            <w:vAlign w:val="center"/>
          </w:tcPr>
          <w:p>
            <w:r/>
            <w:r>
              <w:rPr>
                <w:b w:val="0"/>
                <w:sz w:val="18"/>
              </w:rPr>
              <w:t>Ambient chamber condition record for batch documentation.</w:t>
            </w:r>
          </w:p>
        </w:tc>
      </w:tr>
      <w:tr>
        <w:tc>
          <w:tcPr>
            <w:tcW w:type="dxa" w:w="2592"/>
            <w:vAlign w:val="center"/>
          </w:tcPr>
          <w:p>
            <w:r/>
            <w:r>
              <w:rPr>
                <w:b w:val="0"/>
                <w:sz w:val="18"/>
              </w:rPr>
              <w:t>Exhaust</w:t>
            </w:r>
          </w:p>
        </w:tc>
        <w:tc>
          <w:tcPr>
            <w:tcW w:type="dxa" w:w="6912"/>
            <w:vAlign w:val="center"/>
          </w:tcPr>
          <w:p>
            <w:r/>
            <w:r>
              <w:rPr>
                <w:b w:val="0"/>
                <w:sz w:val="18"/>
              </w:rPr>
              <w:t>Airflow support during handling of peroxide-containing solutions, if required.</w:t>
            </w:r>
          </w:p>
        </w:tc>
      </w:tr>
    </w:tbl>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Offline / External Step</w:t>
            </w:r>
          </w:p>
        </w:tc>
        <w:tc>
          <w:tcPr>
            <w:tcW w:type="dxa" w:w="5040"/>
            <w:vAlign w:val="center"/>
            <w:shd w:fill="D9EAF7"/>
          </w:tcPr>
          <w:p>
            <w:r/>
            <w:r>
              <w:rPr>
                <w:b/>
                <w:sz w:val="18"/>
              </w:rPr>
              <w:t>Purpose</w:t>
            </w:r>
          </w:p>
        </w:tc>
      </w:tr>
      <w:tr>
        <w:tc>
          <w:tcPr>
            <w:tcW w:type="dxa" w:w="5040"/>
            <w:vAlign w:val="center"/>
          </w:tcPr>
          <w:p>
            <w:r/>
            <w:r>
              <w:rPr>
                <w:b w:val="0"/>
                <w:sz w:val="18"/>
              </w:rPr>
              <w:t>Accurate absorbance measurement at 240 nm</w:t>
            </w:r>
          </w:p>
        </w:tc>
        <w:tc>
          <w:tcPr>
            <w:tcW w:type="dxa" w:w="5040"/>
            <w:vAlign w:val="center"/>
          </w:tcPr>
          <w:p>
            <w:r/>
            <w:r>
              <w:rPr>
                <w:b w:val="0"/>
                <w:sz w:val="18"/>
              </w:rPr>
              <w:t>Quantitative tracking of hydrogen peroxide decomposition using an external UV-Vis spectrophotometer.</w:t>
            </w:r>
          </w:p>
        </w:tc>
      </w:tr>
      <w:tr>
        <w:tc>
          <w:tcPr>
            <w:tcW w:type="dxa" w:w="5040"/>
            <w:vAlign w:val="center"/>
          </w:tcPr>
          <w:p>
            <w:r/>
            <w:r>
              <w:rPr>
                <w:b w:val="0"/>
                <w:sz w:val="18"/>
              </w:rPr>
              <w:t>pH measurement and buffer validation</w:t>
            </w:r>
          </w:p>
        </w:tc>
        <w:tc>
          <w:tcPr>
            <w:tcW w:type="dxa" w:w="5040"/>
            <w:vAlign w:val="center"/>
          </w:tcPr>
          <w:p>
            <w:r/>
            <w:r>
              <w:rPr>
                <w:b w:val="0"/>
                <w:sz w:val="18"/>
              </w:rPr>
              <w:t>Confirms buffer condition because automated pH monitoring is not an NSL module.</w:t>
            </w:r>
          </w:p>
        </w:tc>
      </w:tr>
      <w:tr>
        <w:tc>
          <w:tcPr>
            <w:tcW w:type="dxa" w:w="5040"/>
            <w:vAlign w:val="center"/>
          </w:tcPr>
          <w:p>
            <w:r/>
            <w:r>
              <w:rPr>
                <w:b w:val="0"/>
                <w:sz w:val="18"/>
              </w:rPr>
              <w:t>Dissolved oxygen or oxygen volume measurement</w:t>
            </w:r>
          </w:p>
        </w:tc>
        <w:tc>
          <w:tcPr>
            <w:tcW w:type="dxa" w:w="5040"/>
            <w:vAlign w:val="center"/>
          </w:tcPr>
          <w:p>
            <w:r/>
            <w:r>
              <w:rPr>
                <w:b w:val="0"/>
                <w:sz w:val="18"/>
              </w:rPr>
              <w:t>Optional quantitative assay for oxygen generation.</w:t>
            </w:r>
          </w:p>
        </w:tc>
      </w:tr>
      <w:tr>
        <w:tc>
          <w:tcPr>
            <w:tcW w:type="dxa" w:w="5040"/>
            <w:vAlign w:val="center"/>
          </w:tcPr>
          <w:p>
            <w:r/>
            <w:r>
              <w:rPr>
                <w:b w:val="0"/>
                <w:sz w:val="18"/>
              </w:rPr>
              <w:t>Protein/enzyme activity calibration</w:t>
            </w:r>
          </w:p>
        </w:tc>
        <w:tc>
          <w:tcPr>
            <w:tcW w:type="dxa" w:w="5040"/>
            <w:vAlign w:val="center"/>
          </w:tcPr>
          <w:p>
            <w:r/>
            <w:r>
              <w:rPr>
                <w:b w:val="0"/>
                <w:sz w:val="18"/>
              </w:rPr>
              <w:t>Required for proper enzyme kinetics interpretation.</w:t>
            </w:r>
          </w:p>
        </w:tc>
      </w:tr>
      <w:tr>
        <w:tc>
          <w:tcPr>
            <w:tcW w:type="dxa" w:w="5040"/>
            <w:vAlign w:val="center"/>
          </w:tcPr>
          <w:p>
            <w:r/>
            <w:r>
              <w:rPr>
                <w:b w:val="0"/>
                <w:sz w:val="18"/>
              </w:rPr>
              <w:t>Michaelis-Menten kinetic analysis</w:t>
            </w:r>
          </w:p>
        </w:tc>
        <w:tc>
          <w:tcPr>
            <w:tcW w:type="dxa" w:w="5040"/>
            <w:vAlign w:val="center"/>
          </w:tcPr>
          <w:p>
            <w:r/>
            <w:r>
              <w:rPr>
                <w:b w:val="0"/>
                <w:sz w:val="18"/>
              </w:rPr>
              <w:t>Performed during data analysis after collecting time-course values.</w:t>
            </w:r>
          </w:p>
        </w:tc>
      </w:tr>
      <w:tr>
        <w:tc>
          <w:tcPr>
            <w:tcW w:type="dxa" w:w="5040"/>
            <w:vAlign w:val="center"/>
          </w:tcPr>
          <w:p>
            <w:r/>
            <w:r>
              <w:rPr>
                <w:b w:val="0"/>
                <w:sz w:val="18"/>
              </w:rPr>
              <w:t>Biological sample validation</w:t>
            </w:r>
          </w:p>
        </w:tc>
        <w:tc>
          <w:tcPr>
            <w:tcW w:type="dxa" w:w="5040"/>
            <w:vAlign w:val="center"/>
          </w:tcPr>
          <w:p>
            <w:r/>
            <w:r>
              <w:rPr>
                <w:b w:val="0"/>
                <w:sz w:val="18"/>
              </w:rPr>
              <w:t>Required if catalase is extracted from tissue, cells, food, or environmental samples.</w:t>
            </w:r>
          </w:p>
        </w:tc>
      </w:tr>
    </w:tbl>
    <w:p/>
    <w:p>
      <w:pPr>
        <w:pStyle w:val="Heading1"/>
      </w:pPr>
      <w:r>
        <w:t>2. Purpose of This Supporting Information</w:t>
      </w:r>
    </w:p>
    <w:p>
      <w:r>
        <w:t>The main Protoly protocol contains the operational fields required for publishing the method, such as title, description, abstract, materials, method steps, methodology, discussion, and conclusion. This supporting document provides the deeper project context behind the catalase activity protocol.</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Area</w:t>
            </w:r>
          </w:p>
        </w:tc>
        <w:tc>
          <w:tcPr>
            <w:tcW w:type="dxa" w:w="5040"/>
            <w:vAlign w:val="center"/>
            <w:shd w:fill="D9EAF7"/>
          </w:tcPr>
          <w:p>
            <w:r/>
            <w:r>
              <w:rPr>
                <w:b/>
                <w:sz w:val="18"/>
              </w:rPr>
              <w:t>Purpose</w:t>
            </w:r>
          </w:p>
        </w:tc>
      </w:tr>
      <w:tr>
        <w:tc>
          <w:tcPr>
            <w:tcW w:type="dxa" w:w="5040"/>
            <w:vAlign w:val="center"/>
          </w:tcPr>
          <w:p>
            <w:r/>
            <w:r>
              <w:rPr>
                <w:b w:val="0"/>
                <w:sz w:val="18"/>
              </w:rPr>
              <w:t>Scientific context</w:t>
            </w:r>
          </w:p>
        </w:tc>
        <w:tc>
          <w:tcPr>
            <w:tcW w:type="dxa" w:w="5040"/>
            <w:vAlign w:val="center"/>
          </w:tcPr>
          <w:p>
            <w:r/>
            <w:r>
              <w:rPr>
                <w:b w:val="0"/>
                <w:sz w:val="18"/>
              </w:rPr>
              <w:t>Explains why catalase activity is a useful enzyme kinetics model.</w:t>
            </w:r>
          </w:p>
        </w:tc>
      </w:tr>
      <w:tr>
        <w:tc>
          <w:tcPr>
            <w:tcW w:type="dxa" w:w="5040"/>
            <w:vAlign w:val="center"/>
          </w:tcPr>
          <w:p>
            <w:r/>
            <w:r>
              <w:rPr>
                <w:b w:val="0"/>
                <w:sz w:val="18"/>
              </w:rPr>
              <w:t>Assay intent</w:t>
            </w:r>
          </w:p>
        </w:tc>
        <w:tc>
          <w:tcPr>
            <w:tcW w:type="dxa" w:w="5040"/>
            <w:vAlign w:val="center"/>
          </w:tcPr>
          <w:p>
            <w:r/>
            <w:r>
              <w:rPr>
                <w:b w:val="0"/>
                <w:sz w:val="18"/>
              </w:rPr>
              <w:t>Clarifies that the protocol demonstrates reaction monitoring and enzyme kinetics, not diagnostic testing.</w:t>
            </w:r>
          </w:p>
        </w:tc>
      </w:tr>
      <w:tr>
        <w:tc>
          <w:tcPr>
            <w:tcW w:type="dxa" w:w="5040"/>
            <w:vAlign w:val="center"/>
          </w:tcPr>
          <w:p>
            <w:r/>
            <w:r>
              <w:rPr>
                <w:b w:val="0"/>
                <w:sz w:val="18"/>
              </w:rPr>
              <w:t>Automation logic</w:t>
            </w:r>
          </w:p>
        </w:tc>
        <w:tc>
          <w:tcPr>
            <w:tcW w:type="dxa" w:w="5040"/>
            <w:vAlign w:val="center"/>
          </w:tcPr>
          <w:p>
            <w:r/>
            <w:r>
              <w:rPr>
                <w:b w:val="0"/>
                <w:sz w:val="18"/>
              </w:rPr>
              <w:t>Shows which parts can be supported by NSL modules and which remain external.</w:t>
            </w:r>
          </w:p>
        </w:tc>
      </w:tr>
      <w:tr>
        <w:tc>
          <w:tcPr>
            <w:tcW w:type="dxa" w:w="5040"/>
            <w:vAlign w:val="center"/>
          </w:tcPr>
          <w:p>
            <w:r/>
            <w:r>
              <w:rPr>
                <w:b w:val="0"/>
                <w:sz w:val="18"/>
              </w:rPr>
              <w:t>Result interpretation</w:t>
            </w:r>
          </w:p>
        </w:tc>
        <w:tc>
          <w:tcPr>
            <w:tcW w:type="dxa" w:w="5040"/>
            <w:vAlign w:val="center"/>
          </w:tcPr>
          <w:p>
            <w:r/>
            <w:r>
              <w:rPr>
                <w:b w:val="0"/>
                <w:sz w:val="18"/>
              </w:rPr>
              <w:t>Explains how visible and quantitative outputs may be understood.</w:t>
            </w:r>
          </w:p>
        </w:tc>
      </w:tr>
      <w:tr>
        <w:tc>
          <w:tcPr>
            <w:tcW w:type="dxa" w:w="5040"/>
            <w:vAlign w:val="center"/>
          </w:tcPr>
          <w:p>
            <w:r/>
            <w:r>
              <w:rPr>
                <w:b w:val="0"/>
                <w:sz w:val="18"/>
              </w:rPr>
              <w:t>Webinar relevance</w:t>
            </w:r>
          </w:p>
        </w:tc>
        <w:tc>
          <w:tcPr>
            <w:tcW w:type="dxa" w:w="5040"/>
            <w:vAlign w:val="center"/>
          </w:tcPr>
          <w:p>
            <w:r/>
            <w:r>
              <w:rPr>
                <w:b w:val="0"/>
                <w:sz w:val="18"/>
              </w:rPr>
              <w:t>Helps present the protocol as an accessible demonstration of automated biochemical workflows.</w:t>
            </w:r>
          </w:p>
        </w:tc>
      </w:tr>
      <w:tr>
        <w:tc>
          <w:tcPr>
            <w:tcW w:type="dxa" w:w="5040"/>
            <w:vAlign w:val="center"/>
          </w:tcPr>
          <w:p>
            <w:r/>
            <w:r>
              <w:rPr>
                <w:b w:val="0"/>
                <w:sz w:val="18"/>
              </w:rPr>
              <w:t>Limitations</w:t>
            </w:r>
          </w:p>
        </w:tc>
        <w:tc>
          <w:tcPr>
            <w:tcW w:type="dxa" w:w="5040"/>
            <w:vAlign w:val="center"/>
          </w:tcPr>
          <w:p>
            <w:r/>
            <w:r>
              <w:rPr>
                <w:b w:val="0"/>
                <w:sz w:val="18"/>
              </w:rPr>
              <w:t>Defines what the protocol does not prove without external analytical validation.</w:t>
            </w:r>
          </w:p>
        </w:tc>
      </w:tr>
    </w:tbl>
    <w:p/>
    <w:p>
      <w:pPr>
        <w:pStyle w:val="Heading1"/>
      </w:pPr>
      <w:r>
        <w:t>3. Overall Concept of the Protocol</w:t>
      </w:r>
    </w:p>
    <w:p>
      <w:r>
        <w:t>Catalase is an enzyme that catalyzes the decomposition of hydrogen peroxide into water and oxygen. This makes the assay visually and scientifically useful. The formation of oxygen bubbles can be observed directly, while the decrease in hydrogen peroxide can be quantified externally using suitable analytical methods.</w:t>
      </w:r>
    </w:p>
    <w:p>
      <w:r>
        <w:t>The concept of the protocol is to convert a simple biochemical reaction into a structured, timed, and automation-assisted assay. Protoly manages the sequence of steps and documentation. NSL supports liquid dispensing, timing, mixing, heating if required, illumination, camera recording, and environmental record keeping.</w:t>
      </w:r>
    </w:p>
    <w:p>
      <w:r>
        <w:t>The workflow can be presented as: buffer preparation -&gt; enzyme addition -&gt; hydrogen peroxide addition -&gt; timed reaction -&gt; visual documentation -&gt; optional quenching -&gt; external quantitative analysis -&gt; kinetic interpretation.</w:t>
      </w:r>
    </w:p>
    <w:p>
      <w:pPr>
        <w:pStyle w:val="Heading1"/>
      </w:pPr>
      <w:r>
        <w:t>4. Why Catalase Was Selected</w:t>
      </w:r>
    </w:p>
    <w:p>
      <w:r>
        <w:t>Catalase is suitable for an online webinar because the reaction is easy to explain, fast to observe, and strongly connected to enzyme kinetics. The assay can be used to introduce reaction rate, substrate concentration, enzyme concentration, temperature effect, inhibitor effect, and time-course monitoring.</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Reason for Selection</w:t>
            </w:r>
          </w:p>
        </w:tc>
        <w:tc>
          <w:tcPr>
            <w:tcW w:type="dxa" w:w="5040"/>
            <w:vAlign w:val="center"/>
            <w:shd w:fill="D9EAF7"/>
          </w:tcPr>
          <w:p>
            <w:r/>
            <w:r>
              <w:rPr>
                <w:b/>
                <w:sz w:val="18"/>
              </w:rPr>
              <w:t>Relevance</w:t>
            </w:r>
          </w:p>
        </w:tc>
      </w:tr>
      <w:tr>
        <w:tc>
          <w:tcPr>
            <w:tcW w:type="dxa" w:w="5040"/>
            <w:vAlign w:val="center"/>
          </w:tcPr>
          <w:p>
            <w:r/>
            <w:r>
              <w:rPr>
                <w:b w:val="0"/>
                <w:sz w:val="18"/>
              </w:rPr>
              <w:t>Clear biological importance</w:t>
            </w:r>
          </w:p>
        </w:tc>
        <w:tc>
          <w:tcPr>
            <w:tcW w:type="dxa" w:w="5040"/>
            <w:vAlign w:val="center"/>
          </w:tcPr>
          <w:p>
            <w:r/>
            <w:r>
              <w:rPr>
                <w:b w:val="0"/>
                <w:sz w:val="18"/>
              </w:rPr>
              <w:t>Catalase protects biological systems from hydrogen peroxide-related oxidative stress.</w:t>
            </w:r>
          </w:p>
        </w:tc>
      </w:tr>
      <w:tr>
        <w:tc>
          <w:tcPr>
            <w:tcW w:type="dxa" w:w="5040"/>
            <w:vAlign w:val="center"/>
          </w:tcPr>
          <w:p>
            <w:r/>
            <w:r>
              <w:rPr>
                <w:b w:val="0"/>
                <w:sz w:val="18"/>
              </w:rPr>
              <w:t>Visible reaction output</w:t>
            </w:r>
          </w:p>
        </w:tc>
        <w:tc>
          <w:tcPr>
            <w:tcW w:type="dxa" w:w="5040"/>
            <w:vAlign w:val="center"/>
          </w:tcPr>
          <w:p>
            <w:r/>
            <w:r>
              <w:rPr>
                <w:b w:val="0"/>
                <w:sz w:val="18"/>
              </w:rPr>
              <w:t>Oxygen release may produce bubbles or foam, making the process demonstrable.</w:t>
            </w:r>
          </w:p>
        </w:tc>
      </w:tr>
      <w:tr>
        <w:tc>
          <w:tcPr>
            <w:tcW w:type="dxa" w:w="5040"/>
            <w:vAlign w:val="center"/>
          </w:tcPr>
          <w:p>
            <w:r/>
            <w:r>
              <w:rPr>
                <w:b w:val="0"/>
                <w:sz w:val="18"/>
              </w:rPr>
              <w:t>Fast reaction</w:t>
            </w:r>
          </w:p>
        </w:tc>
        <w:tc>
          <w:tcPr>
            <w:tcW w:type="dxa" w:w="5040"/>
            <w:vAlign w:val="center"/>
          </w:tcPr>
          <w:p>
            <w:r/>
            <w:r>
              <w:rPr>
                <w:b w:val="0"/>
                <w:sz w:val="18"/>
              </w:rPr>
              <w:t>Useful for short webinar demonstrations and timed comparisons.</w:t>
            </w:r>
          </w:p>
        </w:tc>
      </w:tr>
      <w:tr>
        <w:tc>
          <w:tcPr>
            <w:tcW w:type="dxa" w:w="5040"/>
            <w:vAlign w:val="center"/>
          </w:tcPr>
          <w:p>
            <w:r/>
            <w:r>
              <w:rPr>
                <w:b w:val="0"/>
                <w:sz w:val="18"/>
              </w:rPr>
              <w:t>Kinetic teaching value</w:t>
            </w:r>
          </w:p>
        </w:tc>
        <w:tc>
          <w:tcPr>
            <w:tcW w:type="dxa" w:w="5040"/>
            <w:vAlign w:val="center"/>
          </w:tcPr>
          <w:p>
            <w:r/>
            <w:r>
              <w:rPr>
                <w:b w:val="0"/>
                <w:sz w:val="18"/>
              </w:rPr>
              <w:t>Supports discussion of reaction rate, substrate dependence, and enzyme activity.</w:t>
            </w:r>
          </w:p>
        </w:tc>
      </w:tr>
      <w:tr>
        <w:tc>
          <w:tcPr>
            <w:tcW w:type="dxa" w:w="5040"/>
            <w:vAlign w:val="center"/>
          </w:tcPr>
          <w:p>
            <w:r/>
            <w:r>
              <w:rPr>
                <w:b w:val="0"/>
                <w:sz w:val="18"/>
              </w:rPr>
              <w:t>Automation compatibility</w:t>
            </w:r>
          </w:p>
        </w:tc>
        <w:tc>
          <w:tcPr>
            <w:tcW w:type="dxa" w:w="5040"/>
            <w:vAlign w:val="center"/>
          </w:tcPr>
          <w:p>
            <w:r/>
            <w:r>
              <w:rPr>
                <w:b w:val="0"/>
                <w:sz w:val="18"/>
              </w:rPr>
              <w:t>Timed reagent dispensing and waiting steps can be structured in Protoly and supported by NSL.</w:t>
            </w:r>
          </w:p>
        </w:tc>
      </w:tr>
      <w:tr>
        <w:tc>
          <w:tcPr>
            <w:tcW w:type="dxa" w:w="5040"/>
            <w:vAlign w:val="center"/>
          </w:tcPr>
          <w:p>
            <w:r/>
            <w:r>
              <w:rPr>
                <w:b w:val="0"/>
                <w:sz w:val="18"/>
              </w:rPr>
              <w:t>Expandable design</w:t>
            </w:r>
          </w:p>
        </w:tc>
        <w:tc>
          <w:tcPr>
            <w:tcW w:type="dxa" w:w="5040"/>
            <w:vAlign w:val="center"/>
          </w:tcPr>
          <w:p>
            <w:r/>
            <w:r>
              <w:rPr>
                <w:b w:val="0"/>
                <w:sz w:val="18"/>
              </w:rPr>
              <w:t>Can be extended to inhibitor screening, temperature effect, pH effect, or sample comparison studies.</w:t>
            </w:r>
          </w:p>
        </w:tc>
      </w:tr>
    </w:tbl>
    <w:p/>
    <w:p>
      <w:pPr>
        <w:pStyle w:val="Heading1"/>
      </w:pPr>
      <w:r>
        <w:t>5. Scientific Background</w:t>
      </w:r>
    </w:p>
    <w:p>
      <w:r>
        <w:t>Hydrogen peroxide is a reactive oxygen species that can damage biomolecules at high concentrations. Catalase helps convert hydrogen peroxide into water and oxygen, reducing oxidative stress. The overall reaction can be represented as:</w:t>
      </w:r>
    </w:p>
    <w:p>
      <w:pPr>
        <w:jc w:val="center"/>
      </w:pPr>
      <w:r>
        <w:rPr>
          <w:b/>
          <w:sz w:val="24"/>
        </w:rPr>
        <w:t>2 H2O2 -&gt; 2 H2O + O2</w:t>
      </w:r>
    </w:p>
    <w:p>
      <w:r>
        <w:t>In an enzyme kinetics context, the rate of this reaction depends on enzyme concentration, substrate concentration, temperature, buffer condition, incubation time, and possible inhibitors or stabilizers. A well-designed assay must therefore control reagent addition sequence, reaction start time, mixing conditions, and timing of observation or quenching.</w:t>
      </w:r>
    </w:p>
    <w:p>
      <w:pPr>
        <w:pStyle w:val="Heading1"/>
      </w:pPr>
      <w:r>
        <w:t>6. Enzyme Kinetics Intent</w:t>
      </w:r>
    </w:p>
    <w:p>
      <w:r>
        <w:t>This protocol is intended as an enzyme kinetics model. It can demonstrate how a biochemical reaction can be initiated and followed over time under controlled conditions. The protocol should not be described as a diagnostic test or as a validated assay for clinical catalase deficiency.</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Kinetics Concept</w:t>
            </w:r>
          </w:p>
        </w:tc>
        <w:tc>
          <w:tcPr>
            <w:tcW w:type="dxa" w:w="5040"/>
            <w:vAlign w:val="center"/>
            <w:shd w:fill="D9EAF7"/>
          </w:tcPr>
          <w:p>
            <w:r/>
            <w:r>
              <w:rPr>
                <w:b/>
                <w:sz w:val="18"/>
              </w:rPr>
              <w:t>How This Protocol Can Demonstrate It</w:t>
            </w:r>
          </w:p>
        </w:tc>
      </w:tr>
      <w:tr>
        <w:tc>
          <w:tcPr>
            <w:tcW w:type="dxa" w:w="5040"/>
            <w:vAlign w:val="center"/>
          </w:tcPr>
          <w:p>
            <w:r/>
            <w:r>
              <w:rPr>
                <w:b w:val="0"/>
                <w:sz w:val="18"/>
              </w:rPr>
              <w:t>Reaction initiation</w:t>
            </w:r>
          </w:p>
        </w:tc>
        <w:tc>
          <w:tcPr>
            <w:tcW w:type="dxa" w:w="5040"/>
            <w:vAlign w:val="center"/>
          </w:tcPr>
          <w:p>
            <w:r/>
            <w:r>
              <w:rPr>
                <w:b w:val="0"/>
                <w:sz w:val="18"/>
              </w:rPr>
              <w:t>The reaction begins when hydrogen peroxide and catalase are combined.</w:t>
            </w:r>
          </w:p>
        </w:tc>
      </w:tr>
      <w:tr>
        <w:tc>
          <w:tcPr>
            <w:tcW w:type="dxa" w:w="5040"/>
            <w:vAlign w:val="center"/>
          </w:tcPr>
          <w:p>
            <w:r/>
            <w:r>
              <w:rPr>
                <w:b w:val="0"/>
                <w:sz w:val="18"/>
              </w:rPr>
              <w:t>Time-course monitoring</w:t>
            </w:r>
          </w:p>
        </w:tc>
        <w:tc>
          <w:tcPr>
            <w:tcW w:type="dxa" w:w="5040"/>
            <w:vAlign w:val="center"/>
          </w:tcPr>
          <w:p>
            <w:r/>
            <w:r>
              <w:rPr>
                <w:b w:val="0"/>
                <w:sz w:val="18"/>
              </w:rPr>
              <w:t>Timed Wait steps define reaction intervals.</w:t>
            </w:r>
          </w:p>
        </w:tc>
      </w:tr>
      <w:tr>
        <w:tc>
          <w:tcPr>
            <w:tcW w:type="dxa" w:w="5040"/>
            <w:vAlign w:val="center"/>
          </w:tcPr>
          <w:p>
            <w:r/>
            <w:r>
              <w:rPr>
                <w:b w:val="0"/>
                <w:sz w:val="18"/>
              </w:rPr>
              <w:t>Substrate concentration effect</w:t>
            </w:r>
          </w:p>
        </w:tc>
        <w:tc>
          <w:tcPr>
            <w:tcW w:type="dxa" w:w="5040"/>
            <w:vAlign w:val="center"/>
          </w:tcPr>
          <w:p>
            <w:r/>
            <w:r>
              <w:rPr>
                <w:b w:val="0"/>
                <w:sz w:val="18"/>
              </w:rPr>
              <w:t>Different hydrogen peroxide levels can be compared.</w:t>
            </w:r>
          </w:p>
        </w:tc>
      </w:tr>
      <w:tr>
        <w:tc>
          <w:tcPr>
            <w:tcW w:type="dxa" w:w="5040"/>
            <w:vAlign w:val="center"/>
          </w:tcPr>
          <w:p>
            <w:r/>
            <w:r>
              <w:rPr>
                <w:b w:val="0"/>
                <w:sz w:val="18"/>
              </w:rPr>
              <w:t>Enzyme concentration effect</w:t>
            </w:r>
          </w:p>
        </w:tc>
        <w:tc>
          <w:tcPr>
            <w:tcW w:type="dxa" w:w="5040"/>
            <w:vAlign w:val="center"/>
          </w:tcPr>
          <w:p>
            <w:r/>
            <w:r>
              <w:rPr>
                <w:b w:val="0"/>
                <w:sz w:val="18"/>
              </w:rPr>
              <w:t>Different catalase dilutions can be compared.</w:t>
            </w:r>
          </w:p>
        </w:tc>
      </w:tr>
      <w:tr>
        <w:tc>
          <w:tcPr>
            <w:tcW w:type="dxa" w:w="5040"/>
            <w:vAlign w:val="center"/>
          </w:tcPr>
          <w:p>
            <w:r/>
            <w:r>
              <w:rPr>
                <w:b w:val="0"/>
                <w:sz w:val="18"/>
              </w:rPr>
              <w:t>Temperature effect</w:t>
            </w:r>
          </w:p>
        </w:tc>
        <w:tc>
          <w:tcPr>
            <w:tcW w:type="dxa" w:w="5040"/>
            <w:vAlign w:val="center"/>
          </w:tcPr>
          <w:p>
            <w:r/>
            <w:r>
              <w:rPr>
                <w:b w:val="0"/>
                <w:sz w:val="18"/>
              </w:rPr>
              <w:t>The Heater can support mild temperature-conditioned runs.</w:t>
            </w:r>
          </w:p>
        </w:tc>
      </w:tr>
      <w:tr>
        <w:tc>
          <w:tcPr>
            <w:tcW w:type="dxa" w:w="5040"/>
            <w:vAlign w:val="center"/>
          </w:tcPr>
          <w:p>
            <w:r/>
            <w:r>
              <w:rPr>
                <w:b w:val="0"/>
                <w:sz w:val="18"/>
              </w:rPr>
              <w:t>Inhibition model</w:t>
            </w:r>
          </w:p>
        </w:tc>
        <w:tc>
          <w:tcPr>
            <w:tcW w:type="dxa" w:w="5040"/>
            <w:vAlign w:val="center"/>
          </w:tcPr>
          <w:p>
            <w:r/>
            <w:r>
              <w:rPr>
                <w:b w:val="0"/>
                <w:sz w:val="18"/>
              </w:rPr>
              <w:t>A safe inhibitor or treatment condition can be added in a controlled comparison study.</w:t>
            </w:r>
          </w:p>
        </w:tc>
      </w:tr>
    </w:tbl>
    <w:p/>
    <w:p>
      <w:pPr>
        <w:pStyle w:val="Heading1"/>
      </w:pPr>
      <w:r>
        <w:t>7. Role of Protoly in This Protocol</w:t>
      </w:r>
    </w:p>
    <w:p>
      <w:r>
        <w:t>Protoly provides the protocol-management layer. It converts the catalase assay into a structured sequence instead of a loosely written manual method. This is important because enzyme assays are highly timing-sensitive. A few seconds of difference in reaction start or sampling can affect kinetic interpretation.</w:t>
      </w:r>
    </w:p>
    <w:p>
      <w:pPr>
        <w:pStyle w:val="ListBullet"/>
      </w:pPr>
      <w:r>
        <w:t>The reaction sequence can be defined before execution.</w:t>
      </w:r>
    </w:p>
    <w:p>
      <w:pPr>
        <w:pStyle w:val="ListBullet"/>
      </w:pPr>
      <w:r>
        <w:t>Reagent channels can be assigned clearly.</w:t>
      </w:r>
    </w:p>
    <w:p>
      <w:pPr>
        <w:pStyle w:val="ListBullet"/>
      </w:pPr>
      <w:r>
        <w:t>Timed steps can be standardized across batches.</w:t>
      </w:r>
    </w:p>
    <w:p>
      <w:pPr>
        <w:pStyle w:val="ListBullet"/>
      </w:pPr>
      <w:r>
        <w:t>Control and test conditions can be planned systematically.</w:t>
      </w:r>
    </w:p>
    <w:p>
      <w:pPr>
        <w:pStyle w:val="ListBullet"/>
      </w:pPr>
      <w:r>
        <w:t>Visual observations and offline results can be linked with batch conditions.</w:t>
      </w:r>
    </w:p>
    <w:p>
      <w:pPr>
        <w:pStyle w:val="ListBullet"/>
      </w:pPr>
      <w:r>
        <w:t>The protocol can be used for teaching, demonstration, and structured biochemical workflow documentation.</w:t>
      </w:r>
    </w:p>
    <w:p>
      <w:pPr>
        <w:pStyle w:val="Heading1"/>
      </w:pPr>
      <w:r>
        <w:t>8. Role of NSL Modules</w:t>
      </w:r>
    </w:p>
    <w:p>
      <w:pPr>
        <w:pStyle w:val="Heading2"/>
      </w:pPr>
      <w:r>
        <w:t>8.1 Reservoir Dispense</w:t>
      </w:r>
    </w:p>
    <w:p>
      <w:r>
        <w:t>Reservoir dispensing supports controlled addition of buffer, hydrogen peroxide solution, catalase solution, water, control solution, and optional quenching reagent. For enzyme kinetics, reproducible timing and volume control are critical because the reaction begins immediately after enzyme-substrate contact.</w:t>
      </w:r>
    </w:p>
    <w:p>
      <w:pPr>
        <w:pStyle w:val="Heading2"/>
      </w:pPr>
      <w:r>
        <w:t>8.2 Stirrer</w:t>
      </w:r>
    </w:p>
    <w:p>
      <w:r>
        <w:t>Gentle stirring helps mix enzyme and substrate uniformly. Excessive stirring should be avoided because it may create foam, disturb visual observation, or introduce unnecessary mechanical variation.</w:t>
      </w:r>
    </w:p>
    <w:p>
      <w:pPr>
        <w:pStyle w:val="Heading2"/>
      </w:pPr>
      <w:r>
        <w:t>8.3 Wait</w:t>
      </w:r>
    </w:p>
    <w:p>
      <w:r>
        <w:t>Timed waiting steps are central to this protocol. They define the reaction interval and help compare different batches or substrate concentrations using the same timing structure.</w:t>
      </w:r>
    </w:p>
    <w:p>
      <w:pPr>
        <w:pStyle w:val="Heading2"/>
      </w:pPr>
      <w:r>
        <w:t>8.4 Heater</w:t>
      </w:r>
    </w:p>
    <w:p>
      <w:r>
        <w:t>The heater can be used for mild temperature conditioning where required. Temperature should be kept within the range suitable for the enzyme source and assay design. Overheating may reduce enzyme activity.</w:t>
      </w:r>
    </w:p>
    <w:p>
      <w:pPr>
        <w:pStyle w:val="Heading2"/>
      </w:pPr>
      <w:r>
        <w:t>8.5 LED Illumination and Camera</w:t>
      </w:r>
    </w:p>
    <w:p>
      <w:r>
        <w:t>LED illumination and camera support visual documentation of bubbling, foam formation, colour indicator change, and general reaction appearance. These observations are helpful for demonstration but are not a substitute for quantitative absorbance or oxygen measurement.</w:t>
      </w:r>
    </w:p>
    <w:p>
      <w:pPr>
        <w:pStyle w:val="Heading2"/>
      </w:pPr>
      <w:r>
        <w:t>8.6 Environment Sensors</w:t>
      </w:r>
    </w:p>
    <w:p>
      <w:r>
        <w:t>Environment sensors can record ambient chamber conditions. This is useful for documentation, especially when comparing multiple assay runs carried out on different days or under different conditions.</w:t>
      </w:r>
    </w:p>
    <w:p>
      <w:pPr>
        <w:pStyle w:val="Heading2"/>
      </w:pPr>
      <w:r>
        <w:t>8.7 Exhaust and Sterilization UV</w:t>
      </w:r>
    </w:p>
    <w:p>
      <w:r>
        <w:t>Exhaust can support airflow control during peroxide handling. Sterilization UV can be used before the run as a chamber preparation step. It does not replace biochemical assay validation or sterility testing.</w:t>
      </w:r>
    </w:p>
    <w:p>
      <w:pPr>
        <w:pStyle w:val="Heading1"/>
      </w:pPr>
      <w:r>
        <w:t>9. Main Reagents and Their Purpose</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Reagent / Component</w:t>
            </w:r>
          </w:p>
        </w:tc>
        <w:tc>
          <w:tcPr>
            <w:tcW w:type="dxa" w:w="5040"/>
            <w:vAlign w:val="center"/>
            <w:shd w:fill="D9EAF7"/>
          </w:tcPr>
          <w:p>
            <w:r/>
            <w:r>
              <w:rPr>
                <w:b/>
                <w:sz w:val="18"/>
              </w:rPr>
              <w:t>Purpose</w:t>
            </w:r>
          </w:p>
        </w:tc>
      </w:tr>
      <w:tr>
        <w:tc>
          <w:tcPr>
            <w:tcW w:type="dxa" w:w="5040"/>
            <w:vAlign w:val="center"/>
          </w:tcPr>
          <w:p>
            <w:r/>
            <w:r>
              <w:rPr>
                <w:b w:val="0"/>
                <w:sz w:val="18"/>
              </w:rPr>
              <w:t>Catalase enzyme solution</w:t>
            </w:r>
          </w:p>
        </w:tc>
        <w:tc>
          <w:tcPr>
            <w:tcW w:type="dxa" w:w="5040"/>
            <w:vAlign w:val="center"/>
          </w:tcPr>
          <w:p>
            <w:r/>
            <w:r>
              <w:rPr>
                <w:b w:val="0"/>
                <w:sz w:val="18"/>
              </w:rPr>
              <w:t>Provides enzyme activity for hydrogen peroxide decomposition.</w:t>
            </w:r>
          </w:p>
        </w:tc>
      </w:tr>
      <w:tr>
        <w:tc>
          <w:tcPr>
            <w:tcW w:type="dxa" w:w="5040"/>
            <w:vAlign w:val="center"/>
          </w:tcPr>
          <w:p>
            <w:r/>
            <w:r>
              <w:rPr>
                <w:b w:val="0"/>
                <w:sz w:val="18"/>
              </w:rPr>
              <w:t>Hydrogen peroxide solution</w:t>
            </w:r>
          </w:p>
        </w:tc>
        <w:tc>
          <w:tcPr>
            <w:tcW w:type="dxa" w:w="5040"/>
            <w:vAlign w:val="center"/>
          </w:tcPr>
          <w:p>
            <w:r/>
            <w:r>
              <w:rPr>
                <w:b w:val="0"/>
                <w:sz w:val="18"/>
              </w:rPr>
              <w:t>Substrate for catalase reaction.</w:t>
            </w:r>
          </w:p>
        </w:tc>
      </w:tr>
      <w:tr>
        <w:tc>
          <w:tcPr>
            <w:tcW w:type="dxa" w:w="5040"/>
            <w:vAlign w:val="center"/>
          </w:tcPr>
          <w:p>
            <w:r/>
            <w:r>
              <w:rPr>
                <w:b w:val="0"/>
                <w:sz w:val="18"/>
              </w:rPr>
              <w:t>Phosphate buffer or suitable assay buffer</w:t>
            </w:r>
          </w:p>
        </w:tc>
        <w:tc>
          <w:tcPr>
            <w:tcW w:type="dxa" w:w="5040"/>
            <w:vAlign w:val="center"/>
          </w:tcPr>
          <w:p>
            <w:r/>
            <w:r>
              <w:rPr>
                <w:b w:val="0"/>
                <w:sz w:val="18"/>
              </w:rPr>
              <w:t>Maintains reaction environment during enzyme activity measurement.</w:t>
            </w:r>
          </w:p>
        </w:tc>
      </w:tr>
      <w:tr>
        <w:tc>
          <w:tcPr>
            <w:tcW w:type="dxa" w:w="5040"/>
            <w:vAlign w:val="center"/>
          </w:tcPr>
          <w:p>
            <w:r/>
            <w:r>
              <w:rPr>
                <w:b w:val="0"/>
                <w:sz w:val="18"/>
              </w:rPr>
              <w:t>Deionized water</w:t>
            </w:r>
          </w:p>
        </w:tc>
        <w:tc>
          <w:tcPr>
            <w:tcW w:type="dxa" w:w="5040"/>
            <w:vAlign w:val="center"/>
          </w:tcPr>
          <w:p>
            <w:r/>
            <w:r>
              <w:rPr>
                <w:b w:val="0"/>
                <w:sz w:val="18"/>
              </w:rPr>
              <w:t>Dilution and control preparation.</w:t>
            </w:r>
          </w:p>
        </w:tc>
      </w:tr>
      <w:tr>
        <w:tc>
          <w:tcPr>
            <w:tcW w:type="dxa" w:w="5040"/>
            <w:vAlign w:val="center"/>
          </w:tcPr>
          <w:p>
            <w:r/>
            <w:r>
              <w:rPr>
                <w:b w:val="0"/>
                <w:sz w:val="18"/>
              </w:rPr>
              <w:t>Optional inhibitor / treatment solution</w:t>
            </w:r>
          </w:p>
        </w:tc>
        <w:tc>
          <w:tcPr>
            <w:tcW w:type="dxa" w:w="5040"/>
            <w:vAlign w:val="center"/>
          </w:tcPr>
          <w:p>
            <w:r/>
            <w:r>
              <w:rPr>
                <w:b w:val="0"/>
                <w:sz w:val="18"/>
              </w:rPr>
              <w:t>Used only for comparison or inhibition model studies.</w:t>
            </w:r>
          </w:p>
        </w:tc>
      </w:tr>
      <w:tr>
        <w:tc>
          <w:tcPr>
            <w:tcW w:type="dxa" w:w="5040"/>
            <w:vAlign w:val="center"/>
          </w:tcPr>
          <w:p>
            <w:r/>
            <w:r>
              <w:rPr>
                <w:b w:val="0"/>
                <w:sz w:val="18"/>
              </w:rPr>
              <w:t>Optional quenching reagent</w:t>
            </w:r>
          </w:p>
        </w:tc>
        <w:tc>
          <w:tcPr>
            <w:tcW w:type="dxa" w:w="5040"/>
            <w:vAlign w:val="center"/>
          </w:tcPr>
          <w:p>
            <w:r/>
            <w:r>
              <w:rPr>
                <w:b w:val="0"/>
                <w:sz w:val="18"/>
              </w:rPr>
              <w:t>Stops or slows the reaction before external analysis, if required.</w:t>
            </w:r>
          </w:p>
        </w:tc>
      </w:tr>
      <w:tr>
        <w:tc>
          <w:tcPr>
            <w:tcW w:type="dxa" w:w="5040"/>
            <w:vAlign w:val="center"/>
          </w:tcPr>
          <w:p>
            <w:r/>
            <w:r>
              <w:rPr>
                <w:b w:val="0"/>
                <w:sz w:val="18"/>
              </w:rPr>
              <w:t>Optional colour indicator</w:t>
            </w:r>
          </w:p>
        </w:tc>
        <w:tc>
          <w:tcPr>
            <w:tcW w:type="dxa" w:w="5040"/>
            <w:vAlign w:val="center"/>
          </w:tcPr>
          <w:p>
            <w:r/>
            <w:r>
              <w:rPr>
                <w:b w:val="0"/>
                <w:sz w:val="18"/>
              </w:rPr>
              <w:t>May support simple visual demonstration where compatible with the assay design.</w:t>
            </w:r>
          </w:p>
        </w:tc>
      </w:tr>
    </w:tbl>
    <w:p/>
    <w:p>
      <w:pPr>
        <w:pStyle w:val="Heading1"/>
      </w:pPr>
      <w:r>
        <w:t>10. Critical Assay Variables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Variable</w:t>
            </w:r>
          </w:p>
        </w:tc>
        <w:tc>
          <w:tcPr>
            <w:tcW w:type="dxa" w:w="5040"/>
            <w:vAlign w:val="center"/>
            <w:shd w:fill="D9EAF7"/>
          </w:tcPr>
          <w:p>
            <w:r/>
            <w:r>
              <w:rPr>
                <w:b/>
                <w:sz w:val="18"/>
              </w:rPr>
              <w:t>Why It Matters</w:t>
            </w:r>
          </w:p>
        </w:tc>
      </w:tr>
      <w:tr>
        <w:tc>
          <w:tcPr>
            <w:tcW w:type="dxa" w:w="5040"/>
            <w:vAlign w:val="center"/>
          </w:tcPr>
          <w:p>
            <w:r/>
            <w:r>
              <w:rPr>
                <w:b w:val="0"/>
                <w:sz w:val="18"/>
              </w:rPr>
              <w:t>Enzyme concentration</w:t>
            </w:r>
          </w:p>
        </w:tc>
        <w:tc>
          <w:tcPr>
            <w:tcW w:type="dxa" w:w="5040"/>
            <w:vAlign w:val="center"/>
          </w:tcPr>
          <w:p>
            <w:r/>
            <w:r>
              <w:rPr>
                <w:b w:val="0"/>
                <w:sz w:val="18"/>
              </w:rPr>
              <w:t>Controls reaction rate and signal strength.</w:t>
            </w:r>
          </w:p>
        </w:tc>
      </w:tr>
      <w:tr>
        <w:tc>
          <w:tcPr>
            <w:tcW w:type="dxa" w:w="5040"/>
            <w:vAlign w:val="center"/>
          </w:tcPr>
          <w:p>
            <w:r/>
            <w:r>
              <w:rPr>
                <w:b w:val="0"/>
                <w:sz w:val="18"/>
              </w:rPr>
              <w:t>Hydrogen peroxide concentration</w:t>
            </w:r>
          </w:p>
        </w:tc>
        <w:tc>
          <w:tcPr>
            <w:tcW w:type="dxa" w:w="5040"/>
            <w:vAlign w:val="center"/>
          </w:tcPr>
          <w:p>
            <w:r/>
            <w:r>
              <w:rPr>
                <w:b w:val="0"/>
                <w:sz w:val="18"/>
              </w:rPr>
              <w:t>Acts as substrate and influences kinetic response.</w:t>
            </w:r>
          </w:p>
        </w:tc>
      </w:tr>
      <w:tr>
        <w:tc>
          <w:tcPr>
            <w:tcW w:type="dxa" w:w="5040"/>
            <w:vAlign w:val="center"/>
          </w:tcPr>
          <w:p>
            <w:r/>
            <w:r>
              <w:rPr>
                <w:b w:val="0"/>
                <w:sz w:val="18"/>
              </w:rPr>
              <w:t>Reaction start time</w:t>
            </w:r>
          </w:p>
        </w:tc>
        <w:tc>
          <w:tcPr>
            <w:tcW w:type="dxa" w:w="5040"/>
            <w:vAlign w:val="center"/>
          </w:tcPr>
          <w:p>
            <w:r/>
            <w:r>
              <w:rPr>
                <w:b w:val="0"/>
                <w:sz w:val="18"/>
              </w:rPr>
              <w:t>Important because catalase reaction is rapid.</w:t>
            </w:r>
          </w:p>
        </w:tc>
      </w:tr>
      <w:tr>
        <w:tc>
          <w:tcPr>
            <w:tcW w:type="dxa" w:w="5040"/>
            <w:vAlign w:val="center"/>
          </w:tcPr>
          <w:p>
            <w:r/>
            <w:r>
              <w:rPr>
                <w:b w:val="0"/>
                <w:sz w:val="18"/>
              </w:rPr>
              <w:t>Mixing condition</w:t>
            </w:r>
          </w:p>
        </w:tc>
        <w:tc>
          <w:tcPr>
            <w:tcW w:type="dxa" w:w="5040"/>
            <w:vAlign w:val="center"/>
          </w:tcPr>
          <w:p>
            <w:r/>
            <w:r>
              <w:rPr>
                <w:b w:val="0"/>
                <w:sz w:val="18"/>
              </w:rPr>
              <w:t>Affects uniform enzyme-substrate contact.</w:t>
            </w:r>
          </w:p>
        </w:tc>
      </w:tr>
      <w:tr>
        <w:tc>
          <w:tcPr>
            <w:tcW w:type="dxa" w:w="5040"/>
            <w:vAlign w:val="center"/>
          </w:tcPr>
          <w:p>
            <w:r/>
            <w:r>
              <w:rPr>
                <w:b w:val="0"/>
                <w:sz w:val="18"/>
              </w:rPr>
              <w:t>Reaction temperature</w:t>
            </w:r>
          </w:p>
        </w:tc>
        <w:tc>
          <w:tcPr>
            <w:tcW w:type="dxa" w:w="5040"/>
            <w:vAlign w:val="center"/>
          </w:tcPr>
          <w:p>
            <w:r/>
            <w:r>
              <w:rPr>
                <w:b w:val="0"/>
                <w:sz w:val="18"/>
              </w:rPr>
              <w:t>Influences enzyme activity and stability.</w:t>
            </w:r>
          </w:p>
        </w:tc>
      </w:tr>
      <w:tr>
        <w:tc>
          <w:tcPr>
            <w:tcW w:type="dxa" w:w="5040"/>
            <w:vAlign w:val="center"/>
          </w:tcPr>
          <w:p>
            <w:r/>
            <w:r>
              <w:rPr>
                <w:b w:val="0"/>
                <w:sz w:val="18"/>
              </w:rPr>
              <w:t>Buffer condition</w:t>
            </w:r>
          </w:p>
        </w:tc>
        <w:tc>
          <w:tcPr>
            <w:tcW w:type="dxa" w:w="5040"/>
            <w:vAlign w:val="center"/>
          </w:tcPr>
          <w:p>
            <w:r/>
            <w:r>
              <w:rPr>
                <w:b w:val="0"/>
                <w:sz w:val="18"/>
              </w:rPr>
              <w:t>Affects enzyme conformation and activity.</w:t>
            </w:r>
          </w:p>
        </w:tc>
      </w:tr>
      <w:tr>
        <w:tc>
          <w:tcPr>
            <w:tcW w:type="dxa" w:w="5040"/>
            <w:vAlign w:val="center"/>
          </w:tcPr>
          <w:p>
            <w:r/>
            <w:r>
              <w:rPr>
                <w:b w:val="0"/>
                <w:sz w:val="18"/>
              </w:rPr>
              <w:t>Reaction duration</w:t>
            </w:r>
          </w:p>
        </w:tc>
        <w:tc>
          <w:tcPr>
            <w:tcW w:type="dxa" w:w="5040"/>
            <w:vAlign w:val="center"/>
          </w:tcPr>
          <w:p>
            <w:r/>
            <w:r>
              <w:rPr>
                <w:b w:val="0"/>
                <w:sz w:val="18"/>
              </w:rPr>
              <w:t>Defines comparison point for activity estimation.</w:t>
            </w:r>
          </w:p>
        </w:tc>
      </w:tr>
      <w:tr>
        <w:tc>
          <w:tcPr>
            <w:tcW w:type="dxa" w:w="5040"/>
            <w:vAlign w:val="center"/>
          </w:tcPr>
          <w:p>
            <w:r/>
            <w:r>
              <w:rPr>
                <w:b w:val="0"/>
                <w:sz w:val="18"/>
              </w:rPr>
              <w:t>Quenching timing</w:t>
            </w:r>
          </w:p>
        </w:tc>
        <w:tc>
          <w:tcPr>
            <w:tcW w:type="dxa" w:w="5040"/>
            <w:vAlign w:val="center"/>
          </w:tcPr>
          <w:p>
            <w:r/>
            <w:r>
              <w:rPr>
                <w:b w:val="0"/>
                <w:sz w:val="18"/>
              </w:rPr>
              <w:t>Important if external endpoint analysis is used.</w:t>
            </w:r>
          </w:p>
        </w:tc>
      </w:tr>
      <w:tr>
        <w:tc>
          <w:tcPr>
            <w:tcW w:type="dxa" w:w="5040"/>
            <w:vAlign w:val="center"/>
          </w:tcPr>
          <w:p>
            <w:r/>
            <w:r>
              <w:rPr>
                <w:b w:val="0"/>
                <w:sz w:val="18"/>
              </w:rPr>
              <w:t>Sample source</w:t>
            </w:r>
          </w:p>
        </w:tc>
        <w:tc>
          <w:tcPr>
            <w:tcW w:type="dxa" w:w="5040"/>
            <w:vAlign w:val="center"/>
          </w:tcPr>
          <w:p>
            <w:r/>
            <w:r>
              <w:rPr>
                <w:b w:val="0"/>
                <w:sz w:val="18"/>
              </w:rPr>
              <w:t>Crude extracts may contain interfering components.</w:t>
            </w:r>
          </w:p>
        </w:tc>
      </w:tr>
    </w:tbl>
    <w:p/>
    <w:p>
      <w:pPr>
        <w:pStyle w:val="Heading1"/>
      </w:pPr>
      <w:r>
        <w:t>11. Suggested Experimental Designs</w:t>
      </w:r>
    </w:p>
    <w:p>
      <w:pPr>
        <w:pStyle w:val="Heading2"/>
      </w:pPr>
      <w:r>
        <w:t>11.1 Substrate Concentration Series</w:t>
      </w:r>
    </w:p>
    <w:p>
      <w:r>
        <w:t>Different hydrogen peroxide concentrations may be tested while keeping catalase concentration constant. This supports discussion of substrate dependence and enzyme kinetics.</w:t>
      </w:r>
    </w:p>
    <w:p>
      <w:pPr>
        <w:pStyle w:val="Heading2"/>
      </w:pPr>
      <w:r>
        <w:t>11.2 Enzyme Dilution Series</w:t>
      </w:r>
    </w:p>
    <w:p>
      <w:r>
        <w:t>Different catalase concentrations may be tested with a fixed hydrogen peroxide level. This helps demonstrate how enzyme amount affects reaction rate.</w:t>
      </w:r>
    </w:p>
    <w:p>
      <w:pPr>
        <w:pStyle w:val="Heading2"/>
      </w:pPr>
      <w:r>
        <w:t>11.3 Temperature Comparison</w:t>
      </w:r>
    </w:p>
    <w:p>
      <w:r>
        <w:t>The heater module can support mild temperature-conditioned runs. Results may be compared at room temperature and selected mild temperatures to demonstrate temperature effect on enzyme activity.</w:t>
      </w:r>
    </w:p>
    <w:p>
      <w:pPr>
        <w:pStyle w:val="Heading2"/>
      </w:pPr>
      <w:r>
        <w:t>11.4 Inhibition or Treatment Model</w:t>
      </w:r>
    </w:p>
    <w:p>
      <w:r>
        <w:t>A safe treatment or inhibitor condition may be added to compare catalase activity with and without treatment. This should be presented as an educational model unless validated with appropriate controls.</w:t>
      </w:r>
    </w:p>
    <w:p>
      <w:pPr>
        <w:pStyle w:val="Heading2"/>
      </w:pPr>
      <w:r>
        <w:t>11.5 Sample Comparison</w:t>
      </w:r>
    </w:p>
    <w:p>
      <w:r>
        <w:t>Catalase-containing samples from different sources may be compared after proper extraction and dilution. Any biological sample preparation should be performed externally and documented separately.</w:t>
      </w:r>
    </w:p>
    <w:p>
      <w:pPr>
        <w:pStyle w:val="Heading1"/>
      </w:pPr>
      <w:r>
        <w:t>12. Expected Observations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Observation</w:t>
            </w:r>
          </w:p>
        </w:tc>
        <w:tc>
          <w:tcPr>
            <w:tcW w:type="dxa" w:w="5040"/>
            <w:vAlign w:val="center"/>
            <w:shd w:fill="D9EAF7"/>
          </w:tcPr>
          <w:p>
            <w:r/>
            <w:r>
              <w:rPr>
                <w:b/>
                <w:sz w:val="18"/>
              </w:rPr>
              <w:t>Possible Meaning</w:t>
            </w:r>
          </w:p>
        </w:tc>
      </w:tr>
      <w:tr>
        <w:tc>
          <w:tcPr>
            <w:tcW w:type="dxa" w:w="5040"/>
            <w:vAlign w:val="center"/>
          </w:tcPr>
          <w:p>
            <w:r/>
            <w:r>
              <w:rPr>
                <w:b w:val="0"/>
                <w:sz w:val="18"/>
              </w:rPr>
              <w:t>Rapid bubbling or foam</w:t>
            </w:r>
          </w:p>
        </w:tc>
        <w:tc>
          <w:tcPr>
            <w:tcW w:type="dxa" w:w="5040"/>
            <w:vAlign w:val="center"/>
          </w:tcPr>
          <w:p>
            <w:r/>
            <w:r>
              <w:rPr>
                <w:b w:val="0"/>
                <w:sz w:val="18"/>
              </w:rPr>
              <w:t>High catalase activity or high hydrogen peroxide concentration.</w:t>
            </w:r>
          </w:p>
        </w:tc>
      </w:tr>
      <w:tr>
        <w:tc>
          <w:tcPr>
            <w:tcW w:type="dxa" w:w="5040"/>
            <w:vAlign w:val="center"/>
          </w:tcPr>
          <w:p>
            <w:r/>
            <w:r>
              <w:rPr>
                <w:b w:val="0"/>
                <w:sz w:val="18"/>
              </w:rPr>
              <w:t>Slow bubble formation</w:t>
            </w:r>
          </w:p>
        </w:tc>
        <w:tc>
          <w:tcPr>
            <w:tcW w:type="dxa" w:w="5040"/>
            <w:vAlign w:val="center"/>
          </w:tcPr>
          <w:p>
            <w:r/>
            <w:r>
              <w:rPr>
                <w:b w:val="0"/>
                <w:sz w:val="18"/>
              </w:rPr>
              <w:t>Lower enzyme activity, lower substrate concentration, or less favourable assay condition.</w:t>
            </w:r>
          </w:p>
        </w:tc>
      </w:tr>
      <w:tr>
        <w:tc>
          <w:tcPr>
            <w:tcW w:type="dxa" w:w="5040"/>
            <w:vAlign w:val="center"/>
          </w:tcPr>
          <w:p>
            <w:r/>
            <w:r>
              <w:rPr>
                <w:b w:val="0"/>
                <w:sz w:val="18"/>
              </w:rPr>
              <w:t>No visible bubbling</w:t>
            </w:r>
          </w:p>
        </w:tc>
        <w:tc>
          <w:tcPr>
            <w:tcW w:type="dxa" w:w="5040"/>
            <w:vAlign w:val="center"/>
          </w:tcPr>
          <w:p>
            <w:r/>
            <w:r>
              <w:rPr>
                <w:b w:val="0"/>
                <w:sz w:val="18"/>
              </w:rPr>
              <w:t>Inactive enzyme, unsuitable substrate level, degraded reagent, or wrong reaction condition.</w:t>
            </w:r>
          </w:p>
        </w:tc>
      </w:tr>
      <w:tr>
        <w:tc>
          <w:tcPr>
            <w:tcW w:type="dxa" w:w="5040"/>
            <w:vAlign w:val="center"/>
          </w:tcPr>
          <w:p>
            <w:r/>
            <w:r>
              <w:rPr>
                <w:b w:val="0"/>
                <w:sz w:val="18"/>
              </w:rPr>
              <w:t>Excessive foam</w:t>
            </w:r>
          </w:p>
        </w:tc>
        <w:tc>
          <w:tcPr>
            <w:tcW w:type="dxa" w:w="5040"/>
            <w:vAlign w:val="center"/>
          </w:tcPr>
          <w:p>
            <w:r/>
            <w:r>
              <w:rPr>
                <w:b w:val="0"/>
                <w:sz w:val="18"/>
              </w:rPr>
              <w:t>Very rapid oxygen generation or too much enzyme/substrate.</w:t>
            </w:r>
          </w:p>
        </w:tc>
      </w:tr>
      <w:tr>
        <w:tc>
          <w:tcPr>
            <w:tcW w:type="dxa" w:w="5040"/>
            <w:vAlign w:val="center"/>
          </w:tcPr>
          <w:p>
            <w:r/>
            <w:r>
              <w:rPr>
                <w:b w:val="0"/>
                <w:sz w:val="18"/>
              </w:rPr>
              <w:t>Temperature-related change</w:t>
            </w:r>
          </w:p>
        </w:tc>
        <w:tc>
          <w:tcPr>
            <w:tcW w:type="dxa" w:w="5040"/>
            <w:vAlign w:val="center"/>
          </w:tcPr>
          <w:p>
            <w:r/>
            <w:r>
              <w:rPr>
                <w:b w:val="0"/>
                <w:sz w:val="18"/>
              </w:rPr>
              <w:t>Enzyme activity may increase or decrease depending on temperature range.</w:t>
            </w:r>
          </w:p>
        </w:tc>
      </w:tr>
      <w:tr>
        <w:tc>
          <w:tcPr>
            <w:tcW w:type="dxa" w:w="5040"/>
            <w:vAlign w:val="center"/>
          </w:tcPr>
          <w:p>
            <w:r/>
            <w:r>
              <w:rPr>
                <w:b w:val="0"/>
                <w:sz w:val="18"/>
              </w:rPr>
              <w:t>Colour change if indicator is used</w:t>
            </w:r>
          </w:p>
        </w:tc>
        <w:tc>
          <w:tcPr>
            <w:tcW w:type="dxa" w:w="5040"/>
            <w:vAlign w:val="center"/>
          </w:tcPr>
          <w:p>
            <w:r/>
            <w:r>
              <w:rPr>
                <w:b w:val="0"/>
                <w:sz w:val="18"/>
              </w:rPr>
              <w:t>May indicate reaction progress or peroxide-related chemistry, depending on indicator system.</w:t>
            </w:r>
          </w:p>
        </w:tc>
      </w:tr>
      <w:tr>
        <w:tc>
          <w:tcPr>
            <w:tcW w:type="dxa" w:w="5040"/>
            <w:vAlign w:val="center"/>
          </w:tcPr>
          <w:p>
            <w:r/>
            <w:r>
              <w:rPr>
                <w:b w:val="0"/>
                <w:sz w:val="18"/>
              </w:rPr>
              <w:t>Stable clear solution with external absorbance decline</w:t>
            </w:r>
          </w:p>
        </w:tc>
        <w:tc>
          <w:tcPr>
            <w:tcW w:type="dxa" w:w="5040"/>
            <w:vAlign w:val="center"/>
          </w:tcPr>
          <w:p>
            <w:r/>
            <w:r>
              <w:rPr>
                <w:b w:val="0"/>
                <w:sz w:val="18"/>
              </w:rPr>
              <w:t>Reaction may occur without strong visible bubbling if concentration is low.</w:t>
            </w:r>
          </w:p>
        </w:tc>
      </w:tr>
    </w:tbl>
    <w:p/>
    <w:p>
      <w:r>
        <w:t>Visual observations are useful for demonstration and preliminary comparison, but quantitative interpretation requires external analysis such as UV-Vis monitoring, oxygen measurement, or validated endpoint assay methods.</w:t>
      </w:r>
    </w:p>
    <w:p>
      <w:pPr>
        <w:pStyle w:val="Heading1"/>
      </w:pPr>
      <w:r>
        <w:t>13. Suggested Batch Record Format</w:t>
      </w:r>
    </w:p>
    <w:tbl>
      <w:tblPr>
        <w:tblStyle w:val="TableGrid"/>
        <w:tblW w:type="auto" w:w="0"/>
        <w:jc w:val="center"/>
        <w:tblLook w:firstColumn="1" w:firstRow="1" w:lastColumn="0" w:lastRow="0" w:noHBand="0" w:noVBand="1" w:val="04A0"/>
      </w:tblPr>
      <w:tblGrid>
        <w:gridCol w:w="1260"/>
        <w:gridCol w:w="1260"/>
        <w:gridCol w:w="1260"/>
        <w:gridCol w:w="1260"/>
        <w:gridCol w:w="1260"/>
        <w:gridCol w:w="1260"/>
        <w:gridCol w:w="1260"/>
        <w:gridCol w:w="1260"/>
      </w:tblGrid>
      <w:tr>
        <w:tc>
          <w:tcPr>
            <w:tcW w:type="dxa" w:w="1080"/>
            <w:vAlign w:val="center"/>
            <w:shd w:fill="D9EAF7"/>
          </w:tcPr>
          <w:p>
            <w:r/>
            <w:r>
              <w:rPr>
                <w:b/>
                <w:sz w:val="18"/>
              </w:rPr>
              <w:t>Batch ID</w:t>
            </w:r>
          </w:p>
        </w:tc>
        <w:tc>
          <w:tcPr>
            <w:tcW w:type="dxa" w:w="1368"/>
            <w:vAlign w:val="center"/>
            <w:shd w:fill="D9EAF7"/>
          </w:tcPr>
          <w:p>
            <w:r/>
            <w:r>
              <w:rPr>
                <w:b/>
                <w:sz w:val="18"/>
              </w:rPr>
              <w:t>Catalase Level</w:t>
            </w:r>
          </w:p>
        </w:tc>
        <w:tc>
          <w:tcPr>
            <w:tcW w:type="dxa" w:w="1368"/>
            <w:vAlign w:val="center"/>
            <w:shd w:fill="D9EAF7"/>
          </w:tcPr>
          <w:p>
            <w:r/>
            <w:r>
              <w:rPr>
                <w:b/>
                <w:sz w:val="18"/>
              </w:rPr>
              <w:t>H2O2 Level</w:t>
            </w:r>
          </w:p>
        </w:tc>
        <w:tc>
          <w:tcPr>
            <w:tcW w:type="dxa" w:w="1008"/>
            <w:vAlign w:val="center"/>
            <w:shd w:fill="D9EAF7"/>
          </w:tcPr>
          <w:p>
            <w:r/>
            <w:r>
              <w:rPr>
                <w:b/>
                <w:sz w:val="18"/>
              </w:rPr>
              <w:t>Temp.</w:t>
            </w:r>
          </w:p>
        </w:tc>
        <w:tc>
          <w:tcPr>
            <w:tcW w:type="dxa" w:w="1296"/>
            <w:vAlign w:val="center"/>
            <w:shd w:fill="D9EAF7"/>
          </w:tcPr>
          <w:p>
            <w:r/>
            <w:r>
              <w:rPr>
                <w:b/>
                <w:sz w:val="18"/>
              </w:rPr>
              <w:t>Reaction Time</w:t>
            </w:r>
          </w:p>
        </w:tc>
        <w:tc>
          <w:tcPr>
            <w:tcW w:type="dxa" w:w="1584"/>
            <w:vAlign w:val="center"/>
            <w:shd w:fill="D9EAF7"/>
          </w:tcPr>
          <w:p>
            <w:r/>
            <w:r>
              <w:rPr>
                <w:b/>
                <w:sz w:val="18"/>
              </w:rPr>
              <w:t>Visual Output</w:t>
            </w:r>
          </w:p>
        </w:tc>
        <w:tc>
          <w:tcPr>
            <w:tcW w:type="dxa" w:w="1584"/>
            <w:vAlign w:val="center"/>
            <w:shd w:fill="D9EAF7"/>
          </w:tcPr>
          <w:p>
            <w:r/>
            <w:r>
              <w:rPr>
                <w:b/>
                <w:sz w:val="18"/>
              </w:rPr>
              <w:t>External Reading</w:t>
            </w:r>
          </w:p>
        </w:tc>
        <w:tc>
          <w:tcPr>
            <w:tcW w:type="dxa" w:w="2016"/>
            <w:vAlign w:val="center"/>
            <w:shd w:fill="D9EAF7"/>
          </w:tcPr>
          <w:p>
            <w:r/>
            <w:r>
              <w:rPr>
                <w:b/>
                <w:sz w:val="18"/>
              </w:rPr>
              <w:t>Remarks</w:t>
            </w:r>
          </w:p>
        </w:tc>
      </w:tr>
      <w:tr>
        <w:tc>
          <w:tcPr>
            <w:tcW w:type="dxa" w:w="1080"/>
            <w:vAlign w:val="center"/>
          </w:tcPr>
          <w:p>
            <w:r/>
            <w:r>
              <w:rPr>
                <w:b w:val="0"/>
                <w:sz w:val="18"/>
              </w:rPr>
              <w:t>CAT-01</w:t>
            </w:r>
          </w:p>
        </w:tc>
        <w:tc>
          <w:tcPr>
            <w:tcW w:type="dxa" w:w="1368"/>
            <w:vAlign w:val="center"/>
          </w:tcPr>
          <w:p>
            <w:r/>
            <w:r>
              <w:rPr>
                <w:b w:val="0"/>
                <w:sz w:val="18"/>
              </w:rPr>
              <w:t>Low</w:t>
            </w:r>
          </w:p>
        </w:tc>
        <w:tc>
          <w:tcPr>
            <w:tcW w:type="dxa" w:w="1368"/>
            <w:vAlign w:val="center"/>
          </w:tcPr>
          <w:p>
            <w:r/>
            <w:r>
              <w:rPr>
                <w:b w:val="0"/>
                <w:sz w:val="18"/>
              </w:rPr>
              <w:t>Medium</w:t>
            </w:r>
          </w:p>
        </w:tc>
        <w:tc>
          <w:tcPr>
            <w:tcW w:type="dxa" w:w="1008"/>
            <w:vAlign w:val="center"/>
          </w:tcPr>
          <w:p>
            <w:r/>
            <w:r>
              <w:rPr>
                <w:b w:val="0"/>
                <w:sz w:val="18"/>
              </w:rPr>
              <w:t>RT</w:t>
            </w:r>
          </w:p>
        </w:tc>
        <w:tc>
          <w:tcPr>
            <w:tcW w:type="dxa" w:w="1296"/>
            <w:vAlign w:val="center"/>
          </w:tcPr>
          <w:p>
            <w:r/>
            <w:r>
              <w:rPr>
                <w:b w:val="0"/>
                <w:sz w:val="18"/>
              </w:rPr>
              <w:t>60 s</w:t>
            </w:r>
          </w:p>
        </w:tc>
        <w:tc>
          <w:tcPr>
            <w:tcW w:type="dxa" w:w="1584"/>
            <w:vAlign w:val="center"/>
          </w:tcPr>
          <w:p>
            <w:r/>
            <w:r>
              <w:rPr>
                <w:b w:val="0"/>
                <w:sz w:val="18"/>
              </w:rPr>
              <w:t>Slow bubbles</w:t>
            </w:r>
          </w:p>
        </w:tc>
        <w:tc>
          <w:tcPr>
            <w:tcW w:type="dxa" w:w="1584"/>
            <w:vAlign w:val="center"/>
          </w:tcPr>
          <w:p>
            <w:r/>
            <w:r>
              <w:rPr>
                <w:b w:val="0"/>
                <w:sz w:val="18"/>
              </w:rPr>
              <w:t>To be added</w:t>
            </w:r>
          </w:p>
        </w:tc>
        <w:tc>
          <w:tcPr>
            <w:tcW w:type="dxa" w:w="2016"/>
            <w:vAlign w:val="center"/>
          </w:tcPr>
          <w:p>
            <w:r/>
            <w:r>
              <w:rPr>
                <w:b w:val="0"/>
                <w:sz w:val="18"/>
              </w:rPr>
              <w:t>Baseline low enzyme condition</w:t>
            </w:r>
          </w:p>
        </w:tc>
      </w:tr>
      <w:tr>
        <w:tc>
          <w:tcPr>
            <w:tcW w:type="dxa" w:w="1080"/>
            <w:vAlign w:val="center"/>
          </w:tcPr>
          <w:p>
            <w:r/>
            <w:r>
              <w:rPr>
                <w:b w:val="0"/>
                <w:sz w:val="18"/>
              </w:rPr>
              <w:t>CAT-02</w:t>
            </w:r>
          </w:p>
        </w:tc>
        <w:tc>
          <w:tcPr>
            <w:tcW w:type="dxa" w:w="1368"/>
            <w:vAlign w:val="center"/>
          </w:tcPr>
          <w:p>
            <w:r/>
            <w:r>
              <w:rPr>
                <w:b w:val="0"/>
                <w:sz w:val="18"/>
              </w:rPr>
              <w:t>Medium</w:t>
            </w:r>
          </w:p>
        </w:tc>
        <w:tc>
          <w:tcPr>
            <w:tcW w:type="dxa" w:w="1368"/>
            <w:vAlign w:val="center"/>
          </w:tcPr>
          <w:p>
            <w:r/>
            <w:r>
              <w:rPr>
                <w:b w:val="0"/>
                <w:sz w:val="18"/>
              </w:rPr>
              <w:t>Medium</w:t>
            </w:r>
          </w:p>
        </w:tc>
        <w:tc>
          <w:tcPr>
            <w:tcW w:type="dxa" w:w="1008"/>
            <w:vAlign w:val="center"/>
          </w:tcPr>
          <w:p>
            <w:r/>
            <w:r>
              <w:rPr>
                <w:b w:val="0"/>
                <w:sz w:val="18"/>
              </w:rPr>
              <w:t>RT</w:t>
            </w:r>
          </w:p>
        </w:tc>
        <w:tc>
          <w:tcPr>
            <w:tcW w:type="dxa" w:w="1296"/>
            <w:vAlign w:val="center"/>
          </w:tcPr>
          <w:p>
            <w:r/>
            <w:r>
              <w:rPr>
                <w:b w:val="0"/>
                <w:sz w:val="18"/>
              </w:rPr>
              <w:t>60 s</w:t>
            </w:r>
          </w:p>
        </w:tc>
        <w:tc>
          <w:tcPr>
            <w:tcW w:type="dxa" w:w="1584"/>
            <w:vAlign w:val="center"/>
          </w:tcPr>
          <w:p>
            <w:r/>
            <w:r>
              <w:rPr>
                <w:b w:val="0"/>
                <w:sz w:val="18"/>
              </w:rPr>
              <w:t>Moderate bubbles</w:t>
            </w:r>
          </w:p>
        </w:tc>
        <w:tc>
          <w:tcPr>
            <w:tcW w:type="dxa" w:w="1584"/>
            <w:vAlign w:val="center"/>
          </w:tcPr>
          <w:p>
            <w:r/>
            <w:r>
              <w:rPr>
                <w:b w:val="0"/>
                <w:sz w:val="18"/>
              </w:rPr>
              <w:t>To be added</w:t>
            </w:r>
          </w:p>
        </w:tc>
        <w:tc>
          <w:tcPr>
            <w:tcW w:type="dxa" w:w="2016"/>
            <w:vAlign w:val="center"/>
          </w:tcPr>
          <w:p>
            <w:r/>
            <w:r>
              <w:rPr>
                <w:b w:val="0"/>
                <w:sz w:val="18"/>
              </w:rPr>
              <w:t>Standard condition</w:t>
            </w:r>
          </w:p>
        </w:tc>
      </w:tr>
      <w:tr>
        <w:tc>
          <w:tcPr>
            <w:tcW w:type="dxa" w:w="1080"/>
            <w:vAlign w:val="center"/>
          </w:tcPr>
          <w:p>
            <w:r/>
            <w:r>
              <w:rPr>
                <w:b w:val="0"/>
                <w:sz w:val="18"/>
              </w:rPr>
              <w:t>CAT-03</w:t>
            </w:r>
          </w:p>
        </w:tc>
        <w:tc>
          <w:tcPr>
            <w:tcW w:type="dxa" w:w="1368"/>
            <w:vAlign w:val="center"/>
          </w:tcPr>
          <w:p>
            <w:r/>
            <w:r>
              <w:rPr>
                <w:b w:val="0"/>
                <w:sz w:val="18"/>
              </w:rPr>
              <w:t>High</w:t>
            </w:r>
          </w:p>
        </w:tc>
        <w:tc>
          <w:tcPr>
            <w:tcW w:type="dxa" w:w="1368"/>
            <w:vAlign w:val="center"/>
          </w:tcPr>
          <w:p>
            <w:r/>
            <w:r>
              <w:rPr>
                <w:b w:val="0"/>
                <w:sz w:val="18"/>
              </w:rPr>
              <w:t>Medium</w:t>
            </w:r>
          </w:p>
        </w:tc>
        <w:tc>
          <w:tcPr>
            <w:tcW w:type="dxa" w:w="1008"/>
            <w:vAlign w:val="center"/>
          </w:tcPr>
          <w:p>
            <w:r/>
            <w:r>
              <w:rPr>
                <w:b w:val="0"/>
                <w:sz w:val="18"/>
              </w:rPr>
              <w:t>RT</w:t>
            </w:r>
          </w:p>
        </w:tc>
        <w:tc>
          <w:tcPr>
            <w:tcW w:type="dxa" w:w="1296"/>
            <w:vAlign w:val="center"/>
          </w:tcPr>
          <w:p>
            <w:r/>
            <w:r>
              <w:rPr>
                <w:b w:val="0"/>
                <w:sz w:val="18"/>
              </w:rPr>
              <w:t>60 s</w:t>
            </w:r>
          </w:p>
        </w:tc>
        <w:tc>
          <w:tcPr>
            <w:tcW w:type="dxa" w:w="1584"/>
            <w:vAlign w:val="center"/>
          </w:tcPr>
          <w:p>
            <w:r/>
            <w:r>
              <w:rPr>
                <w:b w:val="0"/>
                <w:sz w:val="18"/>
              </w:rPr>
              <w:t>Rapid foam</w:t>
            </w:r>
          </w:p>
        </w:tc>
        <w:tc>
          <w:tcPr>
            <w:tcW w:type="dxa" w:w="1584"/>
            <w:vAlign w:val="center"/>
          </w:tcPr>
          <w:p>
            <w:r/>
            <w:r>
              <w:rPr>
                <w:b w:val="0"/>
                <w:sz w:val="18"/>
              </w:rPr>
              <w:t>To be added</w:t>
            </w:r>
          </w:p>
        </w:tc>
        <w:tc>
          <w:tcPr>
            <w:tcW w:type="dxa" w:w="2016"/>
            <w:vAlign w:val="center"/>
          </w:tcPr>
          <w:p>
            <w:r/>
            <w:r>
              <w:rPr>
                <w:b w:val="0"/>
                <w:sz w:val="18"/>
              </w:rPr>
              <w:t>May require dilution</w:t>
            </w:r>
          </w:p>
        </w:tc>
      </w:tr>
      <w:tr>
        <w:tc>
          <w:tcPr>
            <w:tcW w:type="dxa" w:w="1080"/>
            <w:vAlign w:val="center"/>
          </w:tcPr>
          <w:p>
            <w:r/>
            <w:r>
              <w:rPr>
                <w:b w:val="0"/>
                <w:sz w:val="18"/>
              </w:rPr>
              <w:t>CAT-04</w:t>
            </w:r>
          </w:p>
        </w:tc>
        <w:tc>
          <w:tcPr>
            <w:tcW w:type="dxa" w:w="1368"/>
            <w:vAlign w:val="center"/>
          </w:tcPr>
          <w:p>
            <w:r/>
            <w:r>
              <w:rPr>
                <w:b w:val="0"/>
                <w:sz w:val="18"/>
              </w:rPr>
              <w:t>Medium</w:t>
            </w:r>
          </w:p>
        </w:tc>
        <w:tc>
          <w:tcPr>
            <w:tcW w:type="dxa" w:w="1368"/>
            <w:vAlign w:val="center"/>
          </w:tcPr>
          <w:p>
            <w:r/>
            <w:r>
              <w:rPr>
                <w:b w:val="0"/>
                <w:sz w:val="18"/>
              </w:rPr>
              <w:t>High</w:t>
            </w:r>
          </w:p>
        </w:tc>
        <w:tc>
          <w:tcPr>
            <w:tcW w:type="dxa" w:w="1008"/>
            <w:vAlign w:val="center"/>
          </w:tcPr>
          <w:p>
            <w:r/>
            <w:r>
              <w:rPr>
                <w:b w:val="0"/>
                <w:sz w:val="18"/>
              </w:rPr>
              <w:t>37 C</w:t>
            </w:r>
          </w:p>
        </w:tc>
        <w:tc>
          <w:tcPr>
            <w:tcW w:type="dxa" w:w="1296"/>
            <w:vAlign w:val="center"/>
          </w:tcPr>
          <w:p>
            <w:r/>
            <w:r>
              <w:rPr>
                <w:b w:val="0"/>
                <w:sz w:val="18"/>
              </w:rPr>
              <w:t>60 s</w:t>
            </w:r>
          </w:p>
        </w:tc>
        <w:tc>
          <w:tcPr>
            <w:tcW w:type="dxa" w:w="1584"/>
            <w:vAlign w:val="center"/>
          </w:tcPr>
          <w:p>
            <w:r/>
            <w:r>
              <w:rPr>
                <w:b w:val="0"/>
                <w:sz w:val="18"/>
              </w:rPr>
              <w:t>Strong reaction</w:t>
            </w:r>
          </w:p>
        </w:tc>
        <w:tc>
          <w:tcPr>
            <w:tcW w:type="dxa" w:w="1584"/>
            <w:vAlign w:val="center"/>
          </w:tcPr>
          <w:p>
            <w:r/>
            <w:r>
              <w:rPr>
                <w:b w:val="0"/>
                <w:sz w:val="18"/>
              </w:rPr>
              <w:t>To be added</w:t>
            </w:r>
          </w:p>
        </w:tc>
        <w:tc>
          <w:tcPr>
            <w:tcW w:type="dxa" w:w="2016"/>
            <w:vAlign w:val="center"/>
          </w:tcPr>
          <w:p>
            <w:r/>
            <w:r>
              <w:rPr>
                <w:b w:val="0"/>
                <w:sz w:val="18"/>
              </w:rPr>
              <w:t>Temperature-supported run</w:t>
            </w:r>
          </w:p>
        </w:tc>
      </w:tr>
    </w:tbl>
    <w:p/>
    <w:p>
      <w:pPr>
        <w:pStyle w:val="Heading1"/>
      </w:pPr>
      <w:r>
        <w:t>14. Offline Quantitative Analysis Options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D9EAF7"/>
          </w:tcPr>
          <w:p>
            <w:r/>
            <w:r>
              <w:rPr>
                <w:b/>
                <w:sz w:val="18"/>
              </w:rPr>
              <w:t>Method</w:t>
            </w:r>
          </w:p>
        </w:tc>
        <w:tc>
          <w:tcPr>
            <w:tcW w:type="dxa" w:w="3360"/>
            <w:vAlign w:val="center"/>
            <w:shd w:fill="D9EAF7"/>
          </w:tcPr>
          <w:p>
            <w:r/>
            <w:r>
              <w:rPr>
                <w:b/>
                <w:sz w:val="18"/>
              </w:rPr>
              <w:t>What It Measures</w:t>
            </w:r>
          </w:p>
        </w:tc>
        <w:tc>
          <w:tcPr>
            <w:tcW w:type="dxa" w:w="3360"/>
            <w:vAlign w:val="center"/>
            <w:shd w:fill="D9EAF7"/>
          </w:tcPr>
          <w:p>
            <w:r/>
            <w:r>
              <w:rPr>
                <w:b/>
                <w:sz w:val="18"/>
              </w:rPr>
              <w:t>Comment</w:t>
            </w:r>
          </w:p>
        </w:tc>
      </w:tr>
      <w:tr>
        <w:tc>
          <w:tcPr>
            <w:tcW w:type="dxa" w:w="3360"/>
            <w:vAlign w:val="center"/>
          </w:tcPr>
          <w:p>
            <w:r/>
            <w:r>
              <w:rPr>
                <w:b w:val="0"/>
                <w:sz w:val="18"/>
              </w:rPr>
              <w:t>UV-Vis absorbance at 240 nm</w:t>
            </w:r>
          </w:p>
        </w:tc>
        <w:tc>
          <w:tcPr>
            <w:tcW w:type="dxa" w:w="3360"/>
            <w:vAlign w:val="center"/>
          </w:tcPr>
          <w:p>
            <w:r/>
            <w:r>
              <w:rPr>
                <w:b w:val="0"/>
                <w:sz w:val="18"/>
              </w:rPr>
              <w:t>Decrease in hydrogen peroxide absorbance over time</w:t>
            </w:r>
          </w:p>
        </w:tc>
        <w:tc>
          <w:tcPr>
            <w:tcW w:type="dxa" w:w="3360"/>
            <w:vAlign w:val="center"/>
          </w:tcPr>
          <w:p>
            <w:r/>
            <w:r>
              <w:rPr>
                <w:b w:val="0"/>
                <w:sz w:val="18"/>
              </w:rPr>
              <w:t>Common quantitative approach but requires external spectrophotometer.</w:t>
            </w:r>
          </w:p>
        </w:tc>
      </w:tr>
      <w:tr>
        <w:tc>
          <w:tcPr>
            <w:tcW w:type="dxa" w:w="3360"/>
            <w:vAlign w:val="center"/>
          </w:tcPr>
          <w:p>
            <w:r/>
            <w:r>
              <w:rPr>
                <w:b w:val="0"/>
                <w:sz w:val="18"/>
              </w:rPr>
              <w:t>Oxygen evolution measurement</w:t>
            </w:r>
          </w:p>
        </w:tc>
        <w:tc>
          <w:tcPr>
            <w:tcW w:type="dxa" w:w="3360"/>
            <w:vAlign w:val="center"/>
          </w:tcPr>
          <w:p>
            <w:r/>
            <w:r>
              <w:rPr>
                <w:b w:val="0"/>
                <w:sz w:val="18"/>
              </w:rPr>
              <w:t>Oxygen generated during reaction</w:t>
            </w:r>
          </w:p>
        </w:tc>
        <w:tc>
          <w:tcPr>
            <w:tcW w:type="dxa" w:w="3360"/>
            <w:vAlign w:val="center"/>
          </w:tcPr>
          <w:p>
            <w:r/>
            <w:r>
              <w:rPr>
                <w:b w:val="0"/>
                <w:sz w:val="18"/>
              </w:rPr>
              <w:t>Useful when gas measurement setup is available.</w:t>
            </w:r>
          </w:p>
        </w:tc>
      </w:tr>
      <w:tr>
        <w:tc>
          <w:tcPr>
            <w:tcW w:type="dxa" w:w="3360"/>
            <w:vAlign w:val="center"/>
          </w:tcPr>
          <w:p>
            <w:r/>
            <w:r>
              <w:rPr>
                <w:b w:val="0"/>
                <w:sz w:val="18"/>
              </w:rPr>
              <w:t>Titrimetric peroxide estimation</w:t>
            </w:r>
          </w:p>
        </w:tc>
        <w:tc>
          <w:tcPr>
            <w:tcW w:type="dxa" w:w="3360"/>
            <w:vAlign w:val="center"/>
          </w:tcPr>
          <w:p>
            <w:r/>
            <w:r>
              <w:rPr>
                <w:b w:val="0"/>
                <w:sz w:val="18"/>
              </w:rPr>
              <w:t>Remaining hydrogen peroxide</w:t>
            </w:r>
          </w:p>
        </w:tc>
        <w:tc>
          <w:tcPr>
            <w:tcW w:type="dxa" w:w="3360"/>
            <w:vAlign w:val="center"/>
          </w:tcPr>
          <w:p>
            <w:r/>
            <w:r>
              <w:rPr>
                <w:b w:val="0"/>
                <w:sz w:val="18"/>
              </w:rPr>
              <w:t>Can be used as endpoint method with proper validation.</w:t>
            </w:r>
          </w:p>
        </w:tc>
      </w:tr>
      <w:tr>
        <w:tc>
          <w:tcPr>
            <w:tcW w:type="dxa" w:w="3360"/>
            <w:vAlign w:val="center"/>
          </w:tcPr>
          <w:p>
            <w:r/>
            <w:r>
              <w:rPr>
                <w:b w:val="0"/>
                <w:sz w:val="18"/>
              </w:rPr>
              <w:t>Colourimetric peroxide assay</w:t>
            </w:r>
          </w:p>
        </w:tc>
        <w:tc>
          <w:tcPr>
            <w:tcW w:type="dxa" w:w="3360"/>
            <w:vAlign w:val="center"/>
          </w:tcPr>
          <w:p>
            <w:r/>
            <w:r>
              <w:rPr>
                <w:b w:val="0"/>
                <w:sz w:val="18"/>
              </w:rPr>
              <w:t>Residual peroxide using chromogenic reagent</w:t>
            </w:r>
          </w:p>
        </w:tc>
        <w:tc>
          <w:tcPr>
            <w:tcW w:type="dxa" w:w="3360"/>
            <w:vAlign w:val="center"/>
          </w:tcPr>
          <w:p>
            <w:r/>
            <w:r>
              <w:rPr>
                <w:b w:val="0"/>
                <w:sz w:val="18"/>
              </w:rPr>
              <w:t>Useful for endpoint screening if compatible.</w:t>
            </w:r>
          </w:p>
        </w:tc>
      </w:tr>
      <w:tr>
        <w:tc>
          <w:tcPr>
            <w:tcW w:type="dxa" w:w="3360"/>
            <w:vAlign w:val="center"/>
          </w:tcPr>
          <w:p>
            <w:r/>
            <w:r>
              <w:rPr>
                <w:b w:val="0"/>
                <w:sz w:val="18"/>
              </w:rPr>
              <w:t>Foam height / bubble score</w:t>
            </w:r>
          </w:p>
        </w:tc>
        <w:tc>
          <w:tcPr>
            <w:tcW w:type="dxa" w:w="3360"/>
            <w:vAlign w:val="center"/>
          </w:tcPr>
          <w:p>
            <w:r/>
            <w:r>
              <w:rPr>
                <w:b w:val="0"/>
                <w:sz w:val="18"/>
              </w:rPr>
              <w:t>Semi-quantitative visual output</w:t>
            </w:r>
          </w:p>
        </w:tc>
        <w:tc>
          <w:tcPr>
            <w:tcW w:type="dxa" w:w="3360"/>
            <w:vAlign w:val="center"/>
          </w:tcPr>
          <w:p>
            <w:r/>
            <w:r>
              <w:rPr>
                <w:b w:val="0"/>
                <w:sz w:val="18"/>
              </w:rPr>
              <w:t>Suitable for demonstration only, not rigorous kinetics.</w:t>
            </w:r>
          </w:p>
        </w:tc>
      </w:tr>
    </w:tbl>
    <w:p/>
    <w:p>
      <w:pPr>
        <w:pStyle w:val="Heading1"/>
      </w:pPr>
      <w:r>
        <w:t>15. Result Interpretation Strategy</w:t>
      </w:r>
    </w:p>
    <w:p>
      <w:r>
        <w:t>The catalase assay should be interpreted by connecting the defined input condition with the observed or measured output. A simple interpretation sequence is:</w:t>
      </w:r>
    </w:p>
    <w:p>
      <w:pPr>
        <w:pStyle w:val="ListNumber"/>
      </w:pPr>
      <w:r>
        <w:t>Define enzyme concentration, hydrogen peroxide concentration, temperature, and reaction time.</w:t>
      </w:r>
    </w:p>
    <w:p>
      <w:pPr>
        <w:pStyle w:val="ListNumber"/>
      </w:pPr>
      <w:r>
        <w:t>Execute the Protoly-managed sequence with consistent dispensing and timing.</w:t>
      </w:r>
    </w:p>
    <w:p>
      <w:pPr>
        <w:pStyle w:val="ListNumber"/>
      </w:pPr>
      <w:r>
        <w:t>Record visual output using LED illumination and camera support.</w:t>
      </w:r>
    </w:p>
    <w:p>
      <w:pPr>
        <w:pStyle w:val="ListNumber"/>
      </w:pPr>
      <w:r>
        <w:t>Collect or transfer samples for external quantitative measurement where required.</w:t>
      </w:r>
    </w:p>
    <w:p>
      <w:pPr>
        <w:pStyle w:val="ListNumber"/>
      </w:pPr>
      <w:r>
        <w:t>Compare reaction rate or endpoint signal between batches.</w:t>
      </w:r>
    </w:p>
    <w:p>
      <w:pPr>
        <w:pStyle w:val="ListNumber"/>
      </w:pPr>
      <w:r>
        <w:t>Use the comparison to discuss enzyme activity, substrate dependence, or treatment effect.</w:t>
      </w:r>
    </w:p>
    <w:p>
      <w:pPr>
        <w:pStyle w:val="Heading1"/>
      </w:pPr>
      <w:r>
        <w:t>16. Webinar Explanation Strategy</w:t>
      </w:r>
    </w:p>
    <w:p>
      <w:r>
        <w:t>This protocol is especially useful for webinar demonstration because the reaction can be explained visually and scientifically. A simple explanation may be:</w:t>
      </w:r>
    </w:p>
    <w:p>
      <w:r>
        <w:rPr>
          <w:i/>
        </w:rPr>
        <w:t>In this protocol, we use catalase as a model enzyme to show how a biochemical reaction can be converted into an automation-assisted workflow. NSL can dispense reagents, control timing, mix the reaction, provide illumination, and record the reaction appearance. Protoly organizes the method as a structured protocol, while quantitative kinetic analysis can be performed externally.</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Webinar Topic</w:t>
            </w:r>
          </w:p>
        </w:tc>
        <w:tc>
          <w:tcPr>
            <w:tcW w:type="dxa" w:w="5040"/>
            <w:vAlign w:val="center"/>
            <w:shd w:fill="D9EAF7"/>
          </w:tcPr>
          <w:p>
            <w:r/>
            <w:r>
              <w:rPr>
                <w:b/>
                <w:sz w:val="18"/>
              </w:rPr>
              <w:t>Key Message</w:t>
            </w:r>
          </w:p>
        </w:tc>
      </w:tr>
      <w:tr>
        <w:tc>
          <w:tcPr>
            <w:tcW w:type="dxa" w:w="5040"/>
            <w:vAlign w:val="center"/>
          </w:tcPr>
          <w:p>
            <w:r/>
            <w:r>
              <w:rPr>
                <w:b w:val="0"/>
                <w:sz w:val="18"/>
              </w:rPr>
              <w:t>What is catalase?</w:t>
            </w:r>
          </w:p>
        </w:tc>
        <w:tc>
          <w:tcPr>
            <w:tcW w:type="dxa" w:w="5040"/>
            <w:vAlign w:val="center"/>
          </w:tcPr>
          <w:p>
            <w:r/>
            <w:r>
              <w:rPr>
                <w:b w:val="0"/>
                <w:sz w:val="18"/>
              </w:rPr>
              <w:t>An enzyme that breaks down hydrogen peroxide.</w:t>
            </w:r>
          </w:p>
        </w:tc>
      </w:tr>
      <w:tr>
        <w:tc>
          <w:tcPr>
            <w:tcW w:type="dxa" w:w="5040"/>
            <w:vAlign w:val="center"/>
          </w:tcPr>
          <w:p>
            <w:r/>
            <w:r>
              <w:rPr>
                <w:b w:val="0"/>
                <w:sz w:val="18"/>
              </w:rPr>
              <w:t>Why is the assay visible?</w:t>
            </w:r>
          </w:p>
        </w:tc>
        <w:tc>
          <w:tcPr>
            <w:tcW w:type="dxa" w:w="5040"/>
            <w:vAlign w:val="center"/>
          </w:tcPr>
          <w:p>
            <w:r/>
            <w:r>
              <w:rPr>
                <w:b w:val="0"/>
                <w:sz w:val="18"/>
              </w:rPr>
              <w:t>Oxygen formation can produce bubbles or foam.</w:t>
            </w:r>
          </w:p>
        </w:tc>
      </w:tr>
      <w:tr>
        <w:tc>
          <w:tcPr>
            <w:tcW w:type="dxa" w:w="5040"/>
            <w:vAlign w:val="center"/>
          </w:tcPr>
          <w:p>
            <w:r/>
            <w:r>
              <w:rPr>
                <w:b w:val="0"/>
                <w:sz w:val="18"/>
              </w:rPr>
              <w:t>Why automation helps?</w:t>
            </w:r>
          </w:p>
        </w:tc>
        <w:tc>
          <w:tcPr>
            <w:tcW w:type="dxa" w:w="5040"/>
            <w:vAlign w:val="center"/>
          </w:tcPr>
          <w:p>
            <w:r/>
            <w:r>
              <w:rPr>
                <w:b w:val="0"/>
                <w:sz w:val="18"/>
              </w:rPr>
              <w:t>Timing, reagent order, and volume control are important.</w:t>
            </w:r>
          </w:p>
        </w:tc>
      </w:tr>
      <w:tr>
        <w:tc>
          <w:tcPr>
            <w:tcW w:type="dxa" w:w="5040"/>
            <w:vAlign w:val="center"/>
          </w:tcPr>
          <w:p>
            <w:r/>
            <w:r>
              <w:rPr>
                <w:b w:val="0"/>
                <w:sz w:val="18"/>
              </w:rPr>
              <w:t>What NSL supports?</w:t>
            </w:r>
          </w:p>
        </w:tc>
        <w:tc>
          <w:tcPr>
            <w:tcW w:type="dxa" w:w="5040"/>
            <w:vAlign w:val="center"/>
          </w:tcPr>
          <w:p>
            <w:r/>
            <w:r>
              <w:rPr>
                <w:b w:val="0"/>
                <w:sz w:val="18"/>
              </w:rPr>
              <w:t>Dispensing, mixing, waiting, heating, camera documentation, and environment records.</w:t>
            </w:r>
          </w:p>
        </w:tc>
      </w:tr>
      <w:tr>
        <w:tc>
          <w:tcPr>
            <w:tcW w:type="dxa" w:w="5040"/>
            <w:vAlign w:val="center"/>
          </w:tcPr>
          <w:p>
            <w:r/>
            <w:r>
              <w:rPr>
                <w:b w:val="0"/>
                <w:sz w:val="18"/>
              </w:rPr>
              <w:t>What remains external?</w:t>
            </w:r>
          </w:p>
        </w:tc>
        <w:tc>
          <w:tcPr>
            <w:tcW w:type="dxa" w:w="5040"/>
            <w:vAlign w:val="center"/>
          </w:tcPr>
          <w:p>
            <w:r/>
            <w:r>
              <w:rPr>
                <w:b w:val="0"/>
                <w:sz w:val="18"/>
              </w:rPr>
              <w:t>Accurate absorbance, oxygen measurement, and kinetic data analysis.</w:t>
            </w:r>
          </w:p>
        </w:tc>
      </w:tr>
      <w:tr>
        <w:tc>
          <w:tcPr>
            <w:tcW w:type="dxa" w:w="5040"/>
            <w:vAlign w:val="center"/>
          </w:tcPr>
          <w:p>
            <w:r/>
            <w:r>
              <w:rPr>
                <w:b w:val="0"/>
                <w:sz w:val="18"/>
              </w:rPr>
              <w:t>What is the learning outcome?</w:t>
            </w:r>
          </w:p>
        </w:tc>
        <w:tc>
          <w:tcPr>
            <w:tcW w:type="dxa" w:w="5040"/>
            <w:vAlign w:val="center"/>
          </w:tcPr>
          <w:p>
            <w:r/>
            <w:r>
              <w:rPr>
                <w:b w:val="0"/>
                <w:sz w:val="18"/>
              </w:rPr>
              <w:t>Participants understand enzyme kinetics and protocol automation together.</w:t>
            </w:r>
          </w:p>
        </w:tc>
      </w:tr>
    </w:tbl>
    <w:p/>
    <w:p>
      <w:pPr>
        <w:pStyle w:val="Heading1"/>
      </w:pPr>
      <w:r>
        <w:t>17. How This Protocol Fits the Larger Protoly Library</w:t>
      </w:r>
    </w:p>
    <w:p>
      <w:r>
        <w:t>This protocol expands the Protoly library from nanomaterial synthesis and formulation development into biochemical assay automation. It shows that Protoly can manage not only synthesis protocols but also enzyme activity studies and model bioscience workflows.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Protoly Area</w:t>
            </w:r>
          </w:p>
        </w:tc>
        <w:tc>
          <w:tcPr>
            <w:tcW w:type="dxa" w:w="5040"/>
            <w:vAlign w:val="center"/>
            <w:shd w:fill="D9EAF7"/>
          </w:tcPr>
          <w:p>
            <w:r/>
            <w:r>
              <w:rPr>
                <w:b/>
                <w:sz w:val="18"/>
              </w:rPr>
              <w:t>Example Protocol</w:t>
            </w:r>
          </w:p>
        </w:tc>
      </w:tr>
      <w:tr>
        <w:tc>
          <w:tcPr>
            <w:tcW w:type="dxa" w:w="5040"/>
            <w:vAlign w:val="center"/>
          </w:tcPr>
          <w:p>
            <w:r/>
            <w:r>
              <w:rPr>
                <w:b w:val="0"/>
                <w:sz w:val="18"/>
              </w:rPr>
              <w:t>Metal nanoparticle synthesis</w:t>
            </w:r>
          </w:p>
        </w:tc>
        <w:tc>
          <w:tcPr>
            <w:tcW w:type="dxa" w:w="5040"/>
            <w:vAlign w:val="center"/>
          </w:tcPr>
          <w:p>
            <w:r/>
            <w:r>
              <w:rPr>
                <w:b w:val="0"/>
                <w:sz w:val="18"/>
              </w:rPr>
              <w:t>Silver nanoparticle synthesis</w:t>
            </w:r>
          </w:p>
        </w:tc>
      </w:tr>
      <w:tr>
        <w:tc>
          <w:tcPr>
            <w:tcW w:type="dxa" w:w="5040"/>
            <w:vAlign w:val="center"/>
          </w:tcPr>
          <w:p>
            <w:r/>
            <w:r>
              <w:rPr>
                <w:b w:val="0"/>
                <w:sz w:val="18"/>
              </w:rPr>
              <w:t>Metal oxide nanomaterials</w:t>
            </w:r>
          </w:p>
        </w:tc>
        <w:tc>
          <w:tcPr>
            <w:tcW w:type="dxa" w:w="5040"/>
            <w:vAlign w:val="center"/>
          </w:tcPr>
          <w:p>
            <w:r/>
            <w:r>
              <w:rPr>
                <w:b w:val="0"/>
                <w:sz w:val="18"/>
              </w:rPr>
              <w:t>Zinc oxide nanoparticle preparation</w:t>
            </w:r>
          </w:p>
        </w:tc>
      </w:tr>
      <w:tr>
        <w:tc>
          <w:tcPr>
            <w:tcW w:type="dxa" w:w="5040"/>
            <w:vAlign w:val="center"/>
          </w:tcPr>
          <w:p>
            <w:r/>
            <w:r>
              <w:rPr>
                <w:b w:val="0"/>
                <w:sz w:val="18"/>
              </w:rPr>
              <w:t>Biopolymer systems</w:t>
            </w:r>
          </w:p>
        </w:tc>
        <w:tc>
          <w:tcPr>
            <w:tcW w:type="dxa" w:w="5040"/>
            <w:vAlign w:val="center"/>
          </w:tcPr>
          <w:p>
            <w:r/>
            <w:r>
              <w:rPr>
                <w:b w:val="0"/>
                <w:sz w:val="18"/>
              </w:rPr>
              <w:t>Chitosan nanoparticles and hydrogels</w:t>
            </w:r>
          </w:p>
        </w:tc>
      </w:tr>
      <w:tr>
        <w:tc>
          <w:tcPr>
            <w:tcW w:type="dxa" w:w="5040"/>
            <w:vAlign w:val="center"/>
          </w:tcPr>
          <w:p>
            <w:r/>
            <w:r>
              <w:rPr>
                <w:b w:val="0"/>
                <w:sz w:val="18"/>
              </w:rPr>
              <w:t>Lipid nanocarriers</w:t>
            </w:r>
          </w:p>
        </w:tc>
        <w:tc>
          <w:tcPr>
            <w:tcW w:type="dxa" w:w="5040"/>
            <w:vAlign w:val="center"/>
          </w:tcPr>
          <w:p>
            <w:r/>
            <w:r>
              <w:rPr>
                <w:b w:val="0"/>
                <w:sz w:val="18"/>
              </w:rPr>
              <w:t>Nano-liposome preparation</w:t>
            </w:r>
          </w:p>
        </w:tc>
      </w:tr>
      <w:tr>
        <w:tc>
          <w:tcPr>
            <w:tcW w:type="dxa" w:w="5040"/>
            <w:vAlign w:val="center"/>
          </w:tcPr>
          <w:p>
            <w:r/>
            <w:r>
              <w:rPr>
                <w:b w:val="0"/>
                <w:sz w:val="18"/>
              </w:rPr>
              <w:t>Bio-interface studies</w:t>
            </w:r>
          </w:p>
        </w:tc>
        <w:tc>
          <w:tcPr>
            <w:tcW w:type="dxa" w:w="5040"/>
            <w:vAlign w:val="center"/>
          </w:tcPr>
          <w:p>
            <w:r/>
            <w:r>
              <w:rPr>
                <w:b w:val="0"/>
                <w:sz w:val="18"/>
              </w:rPr>
              <w:t>Protein corona and antibody conjugation</w:t>
            </w:r>
          </w:p>
        </w:tc>
      </w:tr>
      <w:tr>
        <w:tc>
          <w:tcPr>
            <w:tcW w:type="dxa" w:w="5040"/>
            <w:vAlign w:val="center"/>
          </w:tcPr>
          <w:p>
            <w:r/>
            <w:r>
              <w:rPr>
                <w:b w:val="0"/>
                <w:sz w:val="18"/>
              </w:rPr>
              <w:t>Biosensor models</w:t>
            </w:r>
          </w:p>
        </w:tc>
        <w:tc>
          <w:tcPr>
            <w:tcW w:type="dxa" w:w="5040"/>
            <w:vAlign w:val="center"/>
          </w:tcPr>
          <w:p>
            <w:r/>
            <w:r>
              <w:rPr>
                <w:b w:val="0"/>
                <w:sz w:val="18"/>
              </w:rPr>
              <w:t>Electrochemical glucose detection</w:t>
            </w:r>
          </w:p>
        </w:tc>
      </w:tr>
      <w:tr>
        <w:tc>
          <w:tcPr>
            <w:tcW w:type="dxa" w:w="5040"/>
            <w:vAlign w:val="center"/>
          </w:tcPr>
          <w:p>
            <w:r/>
            <w:r>
              <w:rPr>
                <w:b w:val="0"/>
                <w:sz w:val="18"/>
              </w:rPr>
              <w:t>Enzyme assays</w:t>
            </w:r>
          </w:p>
        </w:tc>
        <w:tc>
          <w:tcPr>
            <w:tcW w:type="dxa" w:w="5040"/>
            <w:vAlign w:val="center"/>
          </w:tcPr>
          <w:p>
            <w:r/>
            <w:r>
              <w:rPr>
                <w:b w:val="0"/>
                <w:sz w:val="18"/>
              </w:rPr>
              <w:t>Catalase activity assay</w:t>
            </w:r>
          </w:p>
        </w:tc>
      </w:tr>
    </w:tbl>
    <w:p/>
    <w:p>
      <w:pPr>
        <w:pStyle w:val="Heading1"/>
      </w:pPr>
      <w:r>
        <w:t>18. Safety Considerations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Safety Point</w:t>
            </w:r>
          </w:p>
        </w:tc>
        <w:tc>
          <w:tcPr>
            <w:tcW w:type="dxa" w:w="5040"/>
            <w:vAlign w:val="center"/>
            <w:shd w:fill="D9EAF7"/>
          </w:tcPr>
          <w:p>
            <w:r/>
            <w:r>
              <w:rPr>
                <w:b/>
                <w:sz w:val="18"/>
              </w:rPr>
              <w:t>Explanation</w:t>
            </w:r>
          </w:p>
        </w:tc>
      </w:tr>
      <w:tr>
        <w:tc>
          <w:tcPr>
            <w:tcW w:type="dxa" w:w="5040"/>
            <w:vAlign w:val="center"/>
          </w:tcPr>
          <w:p>
            <w:r/>
            <w:r>
              <w:rPr>
                <w:b w:val="0"/>
                <w:sz w:val="18"/>
              </w:rPr>
              <w:t>Handle hydrogen peroxide carefully</w:t>
            </w:r>
          </w:p>
        </w:tc>
        <w:tc>
          <w:tcPr>
            <w:tcW w:type="dxa" w:w="5040"/>
            <w:vAlign w:val="center"/>
          </w:tcPr>
          <w:p>
            <w:r/>
            <w:r>
              <w:rPr>
                <w:b w:val="0"/>
                <w:sz w:val="18"/>
              </w:rPr>
              <w:t>Even dilute solutions can irritate skin and eyes.</w:t>
            </w:r>
          </w:p>
        </w:tc>
      </w:tr>
      <w:tr>
        <w:tc>
          <w:tcPr>
            <w:tcW w:type="dxa" w:w="5040"/>
            <w:vAlign w:val="center"/>
          </w:tcPr>
          <w:p>
            <w:r/>
            <w:r>
              <w:rPr>
                <w:b w:val="0"/>
                <w:sz w:val="18"/>
              </w:rPr>
              <w:t>Use PPE</w:t>
            </w:r>
          </w:p>
        </w:tc>
        <w:tc>
          <w:tcPr>
            <w:tcW w:type="dxa" w:w="5040"/>
            <w:vAlign w:val="center"/>
          </w:tcPr>
          <w:p>
            <w:r/>
            <w:r>
              <w:rPr>
                <w:b w:val="0"/>
                <w:sz w:val="18"/>
              </w:rPr>
              <w:t>Gloves, lab coat, and eye protection are recommended.</w:t>
            </w:r>
          </w:p>
        </w:tc>
      </w:tr>
      <w:tr>
        <w:tc>
          <w:tcPr>
            <w:tcW w:type="dxa" w:w="5040"/>
            <w:vAlign w:val="center"/>
          </w:tcPr>
          <w:p>
            <w:r/>
            <w:r>
              <w:rPr>
                <w:b w:val="0"/>
                <w:sz w:val="18"/>
              </w:rPr>
              <w:t>Avoid sealed reaction vessels</w:t>
            </w:r>
          </w:p>
        </w:tc>
        <w:tc>
          <w:tcPr>
            <w:tcW w:type="dxa" w:w="5040"/>
            <w:vAlign w:val="center"/>
          </w:tcPr>
          <w:p>
            <w:r/>
            <w:r>
              <w:rPr>
                <w:b w:val="0"/>
                <w:sz w:val="18"/>
              </w:rPr>
              <w:t>Oxygen gas may be produced during decomposition.</w:t>
            </w:r>
          </w:p>
        </w:tc>
      </w:tr>
      <w:tr>
        <w:tc>
          <w:tcPr>
            <w:tcW w:type="dxa" w:w="5040"/>
            <w:vAlign w:val="center"/>
          </w:tcPr>
          <w:p>
            <w:r/>
            <w:r>
              <w:rPr>
                <w:b w:val="0"/>
                <w:sz w:val="18"/>
              </w:rPr>
              <w:t>Use small research-scale volumes</w:t>
            </w:r>
          </w:p>
        </w:tc>
        <w:tc>
          <w:tcPr>
            <w:tcW w:type="dxa" w:w="5040"/>
            <w:vAlign w:val="center"/>
          </w:tcPr>
          <w:p>
            <w:r/>
            <w:r>
              <w:rPr>
                <w:b w:val="0"/>
                <w:sz w:val="18"/>
              </w:rPr>
              <w:t>Reduces risk during demonstration.</w:t>
            </w:r>
          </w:p>
        </w:tc>
      </w:tr>
      <w:tr>
        <w:tc>
          <w:tcPr>
            <w:tcW w:type="dxa" w:w="5040"/>
            <w:vAlign w:val="center"/>
          </w:tcPr>
          <w:p>
            <w:r/>
            <w:r>
              <w:rPr>
                <w:b w:val="0"/>
                <w:sz w:val="18"/>
              </w:rPr>
              <w:t>Avoid overheating enzyme solutions</w:t>
            </w:r>
          </w:p>
        </w:tc>
        <w:tc>
          <w:tcPr>
            <w:tcW w:type="dxa" w:w="5040"/>
            <w:vAlign w:val="center"/>
          </w:tcPr>
          <w:p>
            <w:r/>
            <w:r>
              <w:rPr>
                <w:b w:val="0"/>
                <w:sz w:val="18"/>
              </w:rPr>
              <w:t>May reduce activity and create unreliable results.</w:t>
            </w:r>
          </w:p>
        </w:tc>
      </w:tr>
      <w:tr>
        <w:tc>
          <w:tcPr>
            <w:tcW w:type="dxa" w:w="5040"/>
            <w:vAlign w:val="center"/>
          </w:tcPr>
          <w:p>
            <w:r/>
            <w:r>
              <w:rPr>
                <w:b w:val="0"/>
                <w:sz w:val="18"/>
              </w:rPr>
              <w:t>Label all peroxide-containing samples</w:t>
            </w:r>
          </w:p>
        </w:tc>
        <w:tc>
          <w:tcPr>
            <w:tcW w:type="dxa" w:w="5040"/>
            <w:vAlign w:val="center"/>
          </w:tcPr>
          <w:p>
            <w:r/>
            <w:r>
              <w:rPr>
                <w:b w:val="0"/>
                <w:sz w:val="18"/>
              </w:rPr>
              <w:t>Prevents accidental misuse or mixing.</w:t>
            </w:r>
          </w:p>
        </w:tc>
      </w:tr>
      <w:tr>
        <w:tc>
          <w:tcPr>
            <w:tcW w:type="dxa" w:w="5040"/>
            <w:vAlign w:val="center"/>
          </w:tcPr>
          <w:p>
            <w:r/>
            <w:r>
              <w:rPr>
                <w:b w:val="0"/>
                <w:sz w:val="18"/>
              </w:rPr>
              <w:t>Use exhaust where needed</w:t>
            </w:r>
          </w:p>
        </w:tc>
        <w:tc>
          <w:tcPr>
            <w:tcW w:type="dxa" w:w="5040"/>
            <w:vAlign w:val="center"/>
          </w:tcPr>
          <w:p>
            <w:r/>
            <w:r>
              <w:rPr>
                <w:b w:val="0"/>
                <w:sz w:val="18"/>
              </w:rPr>
              <w:t>Supports safe handling conditions.</w:t>
            </w:r>
          </w:p>
        </w:tc>
      </w:tr>
      <w:tr>
        <w:tc>
          <w:tcPr>
            <w:tcW w:type="dxa" w:w="5040"/>
            <w:vAlign w:val="center"/>
          </w:tcPr>
          <w:p>
            <w:r/>
            <w:r>
              <w:rPr>
                <w:b w:val="0"/>
                <w:sz w:val="18"/>
              </w:rPr>
              <w:t>Do not present as diagnostic test</w:t>
            </w:r>
          </w:p>
        </w:tc>
        <w:tc>
          <w:tcPr>
            <w:tcW w:type="dxa" w:w="5040"/>
            <w:vAlign w:val="center"/>
          </w:tcPr>
          <w:p>
            <w:r/>
            <w:r>
              <w:rPr>
                <w:b w:val="0"/>
                <w:sz w:val="18"/>
              </w:rPr>
              <w:t>This is an educational enzyme kinetics model.</w:t>
            </w:r>
          </w:p>
        </w:tc>
      </w:tr>
    </w:tbl>
    <w:p/>
    <w:p>
      <w:pPr>
        <w:pStyle w:val="Heading1"/>
      </w:pPr>
      <w:r>
        <w:t>19. Limitations</w:t>
      </w:r>
    </w:p>
    <w:p>
      <w:pPr>
        <w:pStyle w:val="ListBullet"/>
      </w:pPr>
      <w:r>
        <w:t>The protocol does not automatically measure hydrogen peroxide concentration.</w:t>
      </w:r>
    </w:p>
    <w:p>
      <w:pPr>
        <w:pStyle w:val="ListBullet"/>
      </w:pPr>
      <w:r>
        <w:t>It does not include automated pH measurement as an NSL module.</w:t>
      </w:r>
    </w:p>
    <w:p>
      <w:pPr>
        <w:pStyle w:val="ListBullet"/>
      </w:pPr>
      <w:r>
        <w:t>Camera-based observation is qualitative and cannot replace kinetic analysis.</w:t>
      </w:r>
    </w:p>
    <w:p>
      <w:pPr>
        <w:pStyle w:val="ListBullet"/>
      </w:pPr>
      <w:r>
        <w:t>Foam or bubble formation is not a precise enzyme activity measurement.</w:t>
      </w:r>
    </w:p>
    <w:p>
      <w:pPr>
        <w:pStyle w:val="ListBullet"/>
      </w:pPr>
      <w:r>
        <w:t>The protocol does not validate catalase activity in clinical samples.</w:t>
      </w:r>
    </w:p>
    <w:p>
      <w:pPr>
        <w:pStyle w:val="ListBullet"/>
      </w:pPr>
      <w:r>
        <w:t>Biological extracts may contain interfering substances and require separate validation.</w:t>
      </w:r>
    </w:p>
    <w:p>
      <w:pPr>
        <w:pStyle w:val="ListBullet"/>
      </w:pPr>
      <w:r>
        <w:t>Accurate kinetic constants require external time-course measurements and data fitting.</w:t>
      </w:r>
    </w:p>
    <w:p>
      <w:pPr>
        <w:pStyle w:val="ListBullet"/>
      </w:pPr>
      <w:r>
        <w:t>The protocol is not a diagnostic, pharmaceutical, or regulatory assay by itself.</w:t>
      </w:r>
    </w:p>
    <w:p>
      <w:pPr>
        <w:pStyle w:val="Heading1"/>
      </w:pPr>
      <w:r>
        <w:t>20. Future Development Possibilities</w:t>
      </w:r>
    </w:p>
    <w:tbl>
      <w:tblPr>
        <w:tblStyle w:val="TableGrid"/>
        <w:tblW w:type="auto" w:w="0"/>
        <w:jc w:val="center"/>
        <w:tblLook w:firstColumn="1" w:firstRow="1" w:lastColumn="0" w:lastRow="0" w:noHBand="0" w:noVBand="1" w:val="04A0"/>
      </w:tblPr>
      <w:tblGrid>
        <w:gridCol w:w="5040"/>
        <w:gridCol w:w="5040"/>
      </w:tblGrid>
      <w:tr>
        <w:tc>
          <w:tcPr>
            <w:tcW w:type="dxa" w:w="5040"/>
            <w:vAlign w:val="center"/>
            <w:shd w:fill="D9EAF7"/>
          </w:tcPr>
          <w:p>
            <w:r/>
            <w:r>
              <w:rPr>
                <w:b/>
                <w:sz w:val="18"/>
              </w:rPr>
              <w:t>Future Protocol</w:t>
            </w:r>
          </w:p>
        </w:tc>
        <w:tc>
          <w:tcPr>
            <w:tcW w:type="dxa" w:w="5040"/>
            <w:vAlign w:val="center"/>
            <w:shd w:fill="D9EAF7"/>
          </w:tcPr>
          <w:p>
            <w:r/>
            <w:r>
              <w:rPr>
                <w:b/>
                <w:sz w:val="18"/>
              </w:rPr>
              <w:t>Purpose</w:t>
            </w:r>
          </w:p>
        </w:tc>
      </w:tr>
      <w:tr>
        <w:tc>
          <w:tcPr>
            <w:tcW w:type="dxa" w:w="5040"/>
            <w:vAlign w:val="center"/>
          </w:tcPr>
          <w:p>
            <w:r/>
            <w:r>
              <w:rPr>
                <w:b w:val="0"/>
                <w:sz w:val="18"/>
              </w:rPr>
              <w:t>Catalase substrate concentration study</w:t>
            </w:r>
          </w:p>
        </w:tc>
        <w:tc>
          <w:tcPr>
            <w:tcW w:type="dxa" w:w="5040"/>
            <w:vAlign w:val="center"/>
          </w:tcPr>
          <w:p>
            <w:r/>
            <w:r>
              <w:rPr>
                <w:b w:val="0"/>
                <w:sz w:val="18"/>
              </w:rPr>
              <w:t>Demonstrate substrate-dependent reaction rate.</w:t>
            </w:r>
          </w:p>
        </w:tc>
      </w:tr>
      <w:tr>
        <w:tc>
          <w:tcPr>
            <w:tcW w:type="dxa" w:w="5040"/>
            <w:vAlign w:val="center"/>
          </w:tcPr>
          <w:p>
            <w:r/>
            <w:r>
              <w:rPr>
                <w:b w:val="0"/>
                <w:sz w:val="18"/>
              </w:rPr>
              <w:t>Catalase enzyme dilution study</w:t>
            </w:r>
          </w:p>
        </w:tc>
        <w:tc>
          <w:tcPr>
            <w:tcW w:type="dxa" w:w="5040"/>
            <w:vAlign w:val="center"/>
          </w:tcPr>
          <w:p>
            <w:r/>
            <w:r>
              <w:rPr>
                <w:b w:val="0"/>
                <w:sz w:val="18"/>
              </w:rPr>
              <w:t>Compare activity at different enzyme levels.</w:t>
            </w:r>
          </w:p>
        </w:tc>
      </w:tr>
      <w:tr>
        <w:tc>
          <w:tcPr>
            <w:tcW w:type="dxa" w:w="5040"/>
            <w:vAlign w:val="center"/>
          </w:tcPr>
          <w:p>
            <w:r/>
            <w:r>
              <w:rPr>
                <w:b w:val="0"/>
                <w:sz w:val="18"/>
              </w:rPr>
              <w:t>Temperature effect on catalase activity</w:t>
            </w:r>
          </w:p>
        </w:tc>
        <w:tc>
          <w:tcPr>
            <w:tcW w:type="dxa" w:w="5040"/>
            <w:vAlign w:val="center"/>
          </w:tcPr>
          <w:p>
            <w:r/>
            <w:r>
              <w:rPr>
                <w:b w:val="0"/>
                <w:sz w:val="18"/>
              </w:rPr>
              <w:t>Study enzyme activity under different mild temperatures.</w:t>
            </w:r>
          </w:p>
        </w:tc>
      </w:tr>
      <w:tr>
        <w:tc>
          <w:tcPr>
            <w:tcW w:type="dxa" w:w="5040"/>
            <w:vAlign w:val="center"/>
          </w:tcPr>
          <w:p>
            <w:r/>
            <w:r>
              <w:rPr>
                <w:b w:val="0"/>
                <w:sz w:val="18"/>
              </w:rPr>
              <w:t>Catalase inhibition model</w:t>
            </w:r>
          </w:p>
        </w:tc>
        <w:tc>
          <w:tcPr>
            <w:tcW w:type="dxa" w:w="5040"/>
            <w:vAlign w:val="center"/>
          </w:tcPr>
          <w:p>
            <w:r/>
            <w:r>
              <w:rPr>
                <w:b w:val="0"/>
                <w:sz w:val="18"/>
              </w:rPr>
              <w:t>Compare control and treatment conditions.</w:t>
            </w:r>
          </w:p>
        </w:tc>
      </w:tr>
      <w:tr>
        <w:tc>
          <w:tcPr>
            <w:tcW w:type="dxa" w:w="5040"/>
            <w:vAlign w:val="center"/>
          </w:tcPr>
          <w:p>
            <w:r/>
            <w:r>
              <w:rPr>
                <w:b w:val="0"/>
                <w:sz w:val="18"/>
              </w:rPr>
              <w:t>Plant or food catalase extraction assay</w:t>
            </w:r>
          </w:p>
        </w:tc>
        <w:tc>
          <w:tcPr>
            <w:tcW w:type="dxa" w:w="5040"/>
            <w:vAlign w:val="center"/>
          </w:tcPr>
          <w:p>
            <w:r/>
            <w:r>
              <w:rPr>
                <w:b w:val="0"/>
                <w:sz w:val="18"/>
              </w:rPr>
              <w:t>Demonstrate catalase activity from biological materials.</w:t>
            </w:r>
          </w:p>
        </w:tc>
      </w:tr>
      <w:tr>
        <w:tc>
          <w:tcPr>
            <w:tcW w:type="dxa" w:w="5040"/>
            <w:vAlign w:val="center"/>
          </w:tcPr>
          <w:p>
            <w:r/>
            <w:r>
              <w:rPr>
                <w:b w:val="0"/>
                <w:sz w:val="18"/>
              </w:rPr>
              <w:t>Peroxide stress antioxidant screening</w:t>
            </w:r>
          </w:p>
        </w:tc>
        <w:tc>
          <w:tcPr>
            <w:tcW w:type="dxa" w:w="5040"/>
            <w:vAlign w:val="center"/>
          </w:tcPr>
          <w:p>
            <w:r/>
            <w:r>
              <w:rPr>
                <w:b w:val="0"/>
                <w:sz w:val="18"/>
              </w:rPr>
              <w:t>Use catalase model for antioxidant-related teaching.</w:t>
            </w:r>
          </w:p>
        </w:tc>
      </w:tr>
      <w:tr>
        <w:tc>
          <w:tcPr>
            <w:tcW w:type="dxa" w:w="5040"/>
            <w:vAlign w:val="center"/>
          </w:tcPr>
          <w:p>
            <w:r/>
            <w:r>
              <w:rPr>
                <w:b w:val="0"/>
                <w:sz w:val="18"/>
              </w:rPr>
              <w:t>Manual vs NSL-assisted enzyme assay comparison</w:t>
            </w:r>
          </w:p>
        </w:tc>
        <w:tc>
          <w:tcPr>
            <w:tcW w:type="dxa" w:w="5040"/>
            <w:vAlign w:val="center"/>
          </w:tcPr>
          <w:p>
            <w:r/>
            <w:r>
              <w:rPr>
                <w:b w:val="0"/>
                <w:sz w:val="18"/>
              </w:rPr>
              <w:t>Show improvement in timing and documentation.</w:t>
            </w:r>
          </w:p>
        </w:tc>
      </w:tr>
      <w:tr>
        <w:tc>
          <w:tcPr>
            <w:tcW w:type="dxa" w:w="5040"/>
            <w:vAlign w:val="center"/>
          </w:tcPr>
          <w:p>
            <w:r/>
            <w:r>
              <w:rPr>
                <w:b w:val="0"/>
                <w:sz w:val="18"/>
              </w:rPr>
              <w:t>Automated enzyme assay data template</w:t>
            </w:r>
          </w:p>
        </w:tc>
        <w:tc>
          <w:tcPr>
            <w:tcW w:type="dxa" w:w="5040"/>
            <w:vAlign w:val="center"/>
          </w:tcPr>
          <w:p>
            <w:r/>
            <w:r>
              <w:rPr>
                <w:b w:val="0"/>
                <w:sz w:val="18"/>
              </w:rPr>
              <w:t>Connect Protoly batch records with external data analysis.</w:t>
            </w:r>
          </w:p>
        </w:tc>
      </w:tr>
    </w:tbl>
    <w:p/>
    <w:p>
      <w:pPr>
        <w:pStyle w:val="Heading1"/>
      </w:pPr>
      <w:r>
        <w:t>21. Suggested Supporting Information Summary</w:t>
      </w:r>
    </w:p>
    <w:p>
      <w:r>
        <w:t>This protocol demonstrates an automation-assisted catalase activity assay using hydrogen peroxide decomposition as a model enzyme kinetics workflow. NSL can support key physical steps such as reagent dispensing, controlled mixing, timed waiting, mild temperature conditioning, illumination, camera-based visual documentation, exhaust support, and environment logging. Protoly provides the structured protocol-management layer for defining assay conditions and comparing different reaction batches.</w:t>
      </w:r>
    </w:p>
    <w:p>
      <w:r>
        <w:t>The protocol is intended for research, training, and educational demonstration only. It can illustrate enzyme kinetics concepts such as reaction initiation, substrate dependence, enzyme concentration effect, and timed reaction monitoring. Quantitative kinetic analysis, pH verification, peroxide concentration measurement, oxygen measurement, and biological validation should be performed externally using suitable validated methods.</w:t>
      </w:r>
    </w:p>
    <w:p>
      <w:r>
        <w:t>Overall, this protocol adds a biochemical assay example to the Protoly protocol library and helps demonstrate how automation-assisted workflows can support bioscience education, assay development, and structured experimental documentation.</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Protocol_16_details | Supporting Information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